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677" w:rsidRDefault="0097000A">
      <w:pPr>
        <w:jc w:val="center"/>
        <w:rPr>
          <w:rFonts w:ascii="黑体" w:eastAsia="黑体"/>
          <w:bCs/>
          <w:color w:val="000000"/>
          <w:sz w:val="52"/>
          <w:szCs w:val="52"/>
        </w:rPr>
      </w:pPr>
      <w:r>
        <w:rPr>
          <w:rFonts w:ascii="黑体" w:eastAsia="黑体" w:hint="eastAsia"/>
          <w:bCs/>
          <w:color w:val="000000"/>
          <w:sz w:val="52"/>
          <w:szCs w:val="52"/>
        </w:rPr>
        <w:t>低压真空快速转换开关电器</w:t>
      </w:r>
    </w:p>
    <w:p w:rsidR="00743677" w:rsidRDefault="00743677">
      <w:pPr>
        <w:jc w:val="center"/>
        <w:rPr>
          <w:rFonts w:ascii="黑体" w:eastAsia="黑体"/>
          <w:bCs/>
          <w:color w:val="000000"/>
          <w:sz w:val="52"/>
          <w:szCs w:val="52"/>
        </w:rPr>
      </w:pPr>
    </w:p>
    <w:p w:rsidR="00743677" w:rsidRDefault="0097000A">
      <w:pPr>
        <w:tabs>
          <w:tab w:val="left" w:pos="561"/>
          <w:tab w:val="left" w:pos="1120"/>
          <w:tab w:val="left" w:pos="1682"/>
        </w:tabs>
        <w:ind w:right="376"/>
        <w:jc w:val="center"/>
        <w:outlineLvl w:val="6"/>
        <w:rPr>
          <w:rFonts w:ascii="Times New Roman" w:eastAsia="宋体" w:hAnsi="Times New Roman" w:cs="Times New Roman"/>
          <w:sz w:val="28"/>
          <w:szCs w:val="28"/>
        </w:rPr>
      </w:pPr>
      <w:r>
        <w:rPr>
          <w:rFonts w:ascii="黑体" w:eastAsia="黑体" w:hAnsi="黑体" w:cs="黑体"/>
          <w:kern w:val="0"/>
          <w:sz w:val="28"/>
          <w:szCs w:val="28"/>
        </w:rPr>
        <w:t>编</w:t>
      </w:r>
      <w:r>
        <w:rPr>
          <w:rFonts w:ascii="黑体" w:eastAsia="黑体" w:hAnsi="黑体" w:cs="黑体"/>
          <w:kern w:val="0"/>
          <w:sz w:val="28"/>
          <w:szCs w:val="28"/>
        </w:rPr>
        <w:t> </w:t>
      </w:r>
      <w:r>
        <w:rPr>
          <w:rFonts w:ascii="黑体" w:eastAsia="黑体" w:hAnsi="黑体" w:cs="黑体"/>
          <w:kern w:val="0"/>
          <w:sz w:val="28"/>
          <w:szCs w:val="28"/>
        </w:rPr>
        <w:t>制</w:t>
      </w:r>
      <w:r>
        <w:rPr>
          <w:rFonts w:ascii="黑体" w:eastAsia="黑体" w:hAnsi="黑体" w:cs="黑体"/>
          <w:kern w:val="0"/>
          <w:sz w:val="28"/>
          <w:szCs w:val="28"/>
        </w:rPr>
        <w:t> </w:t>
      </w:r>
      <w:r>
        <w:rPr>
          <w:rFonts w:ascii="黑体" w:eastAsia="黑体" w:hAnsi="黑体" w:cs="黑体"/>
          <w:kern w:val="0"/>
          <w:sz w:val="28"/>
          <w:szCs w:val="28"/>
        </w:rPr>
        <w:t>说</w:t>
      </w:r>
      <w:r>
        <w:rPr>
          <w:rFonts w:ascii="黑体" w:eastAsia="黑体" w:hAnsi="黑体" w:cs="黑体"/>
          <w:kern w:val="0"/>
          <w:sz w:val="28"/>
          <w:szCs w:val="28"/>
        </w:rPr>
        <w:t> </w:t>
      </w:r>
      <w:r>
        <w:rPr>
          <w:rFonts w:ascii="黑体" w:eastAsia="黑体" w:hAnsi="黑体" w:cs="黑体"/>
          <w:kern w:val="0"/>
          <w:sz w:val="28"/>
          <w:szCs w:val="28"/>
        </w:rPr>
        <w:t>明</w:t>
      </w:r>
    </w:p>
    <w:p w:rsidR="00743677" w:rsidRDefault="00743677">
      <w:pPr>
        <w:jc w:val="center"/>
        <w:rPr>
          <w:rFonts w:ascii="黑体" w:eastAsia="黑体"/>
          <w:bCs/>
          <w:color w:val="000000"/>
          <w:sz w:val="52"/>
          <w:szCs w:val="52"/>
        </w:rPr>
      </w:pPr>
    </w:p>
    <w:p w:rsidR="00743677" w:rsidRDefault="00743677">
      <w:pPr>
        <w:jc w:val="center"/>
        <w:rPr>
          <w:rFonts w:ascii="黑体" w:eastAsia="黑体"/>
          <w:bCs/>
          <w:color w:val="000000"/>
          <w:sz w:val="52"/>
          <w:szCs w:val="52"/>
        </w:rPr>
      </w:pPr>
    </w:p>
    <w:p w:rsidR="00743677" w:rsidRDefault="00743677">
      <w:pPr>
        <w:jc w:val="center"/>
        <w:rPr>
          <w:rFonts w:ascii="黑体" w:eastAsia="黑体"/>
          <w:bCs/>
          <w:color w:val="000000"/>
          <w:sz w:val="52"/>
          <w:szCs w:val="52"/>
        </w:rPr>
      </w:pPr>
    </w:p>
    <w:p w:rsidR="00743677" w:rsidRDefault="00743677">
      <w:pPr>
        <w:jc w:val="center"/>
        <w:rPr>
          <w:rFonts w:ascii="黑体" w:eastAsia="黑体"/>
          <w:bCs/>
          <w:color w:val="000000"/>
          <w:sz w:val="52"/>
          <w:szCs w:val="52"/>
        </w:rPr>
      </w:pPr>
    </w:p>
    <w:p w:rsidR="00743677" w:rsidRDefault="00743677">
      <w:pPr>
        <w:jc w:val="center"/>
        <w:rPr>
          <w:rFonts w:ascii="黑体" w:eastAsia="黑体"/>
          <w:bCs/>
          <w:color w:val="000000"/>
          <w:sz w:val="52"/>
          <w:szCs w:val="52"/>
        </w:rPr>
      </w:pPr>
    </w:p>
    <w:p w:rsidR="00743677" w:rsidRDefault="00743677">
      <w:pPr>
        <w:jc w:val="center"/>
        <w:rPr>
          <w:rFonts w:ascii="黑体" w:eastAsia="黑体"/>
          <w:bCs/>
          <w:color w:val="000000"/>
          <w:sz w:val="52"/>
          <w:szCs w:val="52"/>
        </w:rPr>
      </w:pPr>
    </w:p>
    <w:p w:rsidR="00743677" w:rsidRDefault="00743677">
      <w:pPr>
        <w:jc w:val="center"/>
        <w:rPr>
          <w:rFonts w:ascii="黑体" w:eastAsia="黑体"/>
          <w:bCs/>
          <w:color w:val="000000"/>
          <w:sz w:val="52"/>
          <w:szCs w:val="52"/>
        </w:rPr>
      </w:pPr>
    </w:p>
    <w:p w:rsidR="00743677" w:rsidRDefault="00743677">
      <w:pPr>
        <w:jc w:val="center"/>
        <w:rPr>
          <w:rFonts w:ascii="黑体" w:eastAsia="黑体"/>
          <w:bCs/>
          <w:color w:val="000000"/>
          <w:sz w:val="52"/>
          <w:szCs w:val="52"/>
        </w:rPr>
      </w:pPr>
    </w:p>
    <w:p w:rsidR="00743677" w:rsidRDefault="00743677">
      <w:pPr>
        <w:jc w:val="center"/>
        <w:rPr>
          <w:rFonts w:ascii="黑体" w:eastAsia="黑体"/>
          <w:bCs/>
          <w:color w:val="000000"/>
          <w:sz w:val="52"/>
          <w:szCs w:val="52"/>
        </w:rPr>
      </w:pPr>
    </w:p>
    <w:p w:rsidR="00743677" w:rsidRDefault="00743677">
      <w:pPr>
        <w:jc w:val="center"/>
        <w:rPr>
          <w:rFonts w:ascii="黑体" w:eastAsia="黑体"/>
          <w:bCs/>
          <w:color w:val="000000"/>
          <w:sz w:val="52"/>
          <w:szCs w:val="52"/>
        </w:rPr>
      </w:pPr>
    </w:p>
    <w:p w:rsidR="00743677" w:rsidRDefault="00743677">
      <w:pPr>
        <w:jc w:val="center"/>
        <w:rPr>
          <w:rFonts w:ascii="黑体" w:eastAsia="黑体"/>
          <w:bCs/>
          <w:color w:val="000000"/>
          <w:sz w:val="52"/>
          <w:szCs w:val="52"/>
        </w:rPr>
      </w:pPr>
    </w:p>
    <w:p w:rsidR="00743677" w:rsidRDefault="00743677">
      <w:pPr>
        <w:jc w:val="center"/>
        <w:rPr>
          <w:rFonts w:ascii="黑体" w:eastAsia="黑体"/>
          <w:bCs/>
          <w:color w:val="000000"/>
          <w:sz w:val="52"/>
          <w:szCs w:val="52"/>
        </w:rPr>
      </w:pPr>
    </w:p>
    <w:p w:rsidR="00743677" w:rsidRDefault="00743677">
      <w:pPr>
        <w:rPr>
          <w:rFonts w:asciiTheme="majorEastAsia" w:eastAsiaTheme="majorEastAsia" w:hAnsiTheme="majorEastAsia" w:cstheme="majorEastAsia"/>
          <w:bCs/>
          <w:color w:val="000000"/>
          <w:sz w:val="28"/>
          <w:szCs w:val="28"/>
        </w:rPr>
        <w:sectPr w:rsidR="00743677">
          <w:pgSz w:w="11906" w:h="16838"/>
          <w:pgMar w:top="1440" w:right="1800" w:bottom="1440" w:left="1800" w:header="851" w:footer="992" w:gutter="0"/>
          <w:cols w:space="425"/>
          <w:docGrid w:type="lines" w:linePitch="312"/>
        </w:sectPr>
      </w:pPr>
    </w:p>
    <w:bookmarkStart w:id="0" w:name="_Toc27565_WPSOffice_Type1" w:displacedByCustomXml="next"/>
    <w:sdt>
      <w:sdtPr>
        <w:rPr>
          <w:rFonts w:ascii="黑体" w:eastAsia="黑体" w:hAnsi="黑体" w:cs="黑体" w:hint="eastAsia"/>
          <w:kern w:val="0"/>
          <w:sz w:val="32"/>
          <w:szCs w:val="32"/>
        </w:rPr>
        <w:id w:val="471250411"/>
        <w:docPartObj>
          <w:docPartGallery w:val="Table of Contents"/>
          <w:docPartUnique/>
        </w:docPartObj>
      </w:sdtPr>
      <w:sdtEndPr>
        <w:rPr>
          <w:rFonts w:asciiTheme="majorEastAsia" w:eastAsiaTheme="majorEastAsia" w:hAnsiTheme="majorEastAsia" w:cstheme="majorEastAsia"/>
          <w:sz w:val="21"/>
          <w:szCs w:val="20"/>
        </w:rPr>
      </w:sdtEndPr>
      <w:sdtContent>
        <w:p w:rsidR="00743677" w:rsidRDefault="0097000A">
          <w:pPr>
            <w:jc w:val="center"/>
            <w:rPr>
              <w:rFonts w:ascii="黑体" w:eastAsia="黑体" w:hAnsi="黑体" w:cs="黑体"/>
              <w:sz w:val="32"/>
              <w:szCs w:val="32"/>
            </w:rPr>
          </w:pPr>
          <w:r>
            <w:rPr>
              <w:rFonts w:ascii="黑体" w:eastAsia="黑体" w:hAnsi="黑体" w:cs="黑体" w:hint="eastAsia"/>
              <w:sz w:val="32"/>
              <w:szCs w:val="32"/>
            </w:rPr>
            <w:t>目</w:t>
          </w:r>
          <w:r w:rsidR="00195D92">
            <w:rPr>
              <w:rFonts w:ascii="黑体" w:eastAsia="黑体" w:hAnsi="黑体" w:cs="黑体" w:hint="eastAsia"/>
              <w:sz w:val="32"/>
              <w:szCs w:val="32"/>
            </w:rPr>
            <w:t xml:space="preserve">  </w:t>
          </w:r>
          <w:r>
            <w:rPr>
              <w:rFonts w:ascii="黑体" w:eastAsia="黑体" w:hAnsi="黑体" w:cs="黑体" w:hint="eastAsia"/>
              <w:sz w:val="32"/>
              <w:szCs w:val="32"/>
            </w:rPr>
            <w:t>次</w:t>
          </w:r>
        </w:p>
        <w:p w:rsidR="00743677" w:rsidRPr="00195D92" w:rsidRDefault="005622FF">
          <w:pPr>
            <w:pStyle w:val="WPSOffice1"/>
            <w:tabs>
              <w:tab w:val="right" w:leader="dot" w:pos="8306"/>
            </w:tabs>
            <w:rPr>
              <w:rFonts w:asciiTheme="majorEastAsia" w:eastAsiaTheme="majorEastAsia" w:hAnsiTheme="majorEastAsia" w:cstheme="majorEastAsia"/>
              <w:sz w:val="21"/>
            </w:rPr>
          </w:pPr>
          <w:hyperlink w:anchor="_Toc14177_WPSOffice_Level1" w:history="1">
            <w:sdt>
              <w:sdtPr>
                <w:rPr>
                  <w:rFonts w:ascii="Times New Roman" w:eastAsiaTheme="majorEastAsia" w:hAnsi="Times New Roman" w:cs="Times New Roman"/>
                  <w:kern w:val="2"/>
                  <w:sz w:val="22"/>
                  <w:szCs w:val="24"/>
                </w:rPr>
                <w:id w:val="147476305"/>
                <w:placeholder>
                  <w:docPart w:val="{d2a15e9e-ee3b-4116-b976-3f5073c73af3}"/>
                </w:placeholder>
              </w:sdtPr>
              <w:sdtEndPr>
                <w:rPr>
                  <w:rFonts w:asciiTheme="majorEastAsia" w:hAnsiTheme="majorEastAsia" w:cstheme="majorEastAsia" w:hint="eastAsia"/>
                </w:rPr>
              </w:sdtEndPr>
              <w:sdtContent>
                <w:r w:rsidR="0097000A" w:rsidRPr="00195D92">
                  <w:rPr>
                    <w:rFonts w:ascii="Times New Roman" w:eastAsiaTheme="majorEastAsia" w:hAnsi="Times New Roman" w:cs="Times New Roman"/>
                    <w:sz w:val="21"/>
                  </w:rPr>
                  <w:t>1</w:t>
                </w:r>
                <w:r w:rsidR="0097000A" w:rsidRPr="00195D92">
                  <w:rPr>
                    <w:rFonts w:asciiTheme="majorEastAsia" w:eastAsiaTheme="majorEastAsia" w:hAnsiTheme="majorEastAsia" w:cstheme="majorEastAsia" w:hint="eastAsia"/>
                    <w:sz w:val="21"/>
                  </w:rPr>
                  <w:t>编制背景</w:t>
                </w:r>
              </w:sdtContent>
            </w:sdt>
            <w:r w:rsidR="0097000A" w:rsidRPr="00195D92">
              <w:rPr>
                <w:rFonts w:asciiTheme="majorEastAsia" w:eastAsiaTheme="majorEastAsia" w:hAnsiTheme="majorEastAsia" w:cstheme="majorEastAsia" w:hint="eastAsia"/>
                <w:sz w:val="21"/>
              </w:rPr>
              <w:tab/>
            </w:r>
            <w:bookmarkStart w:id="1" w:name="_Toc14177_WPSOffice_Level1Page"/>
            <w:r w:rsidR="0097000A" w:rsidRPr="00195D92">
              <w:rPr>
                <w:rFonts w:ascii="Times New Roman" w:eastAsiaTheme="majorEastAsia" w:hAnsi="Times New Roman" w:cs="Times New Roman"/>
                <w:sz w:val="21"/>
              </w:rPr>
              <w:t>1</w:t>
            </w:r>
            <w:bookmarkEnd w:id="1"/>
          </w:hyperlink>
        </w:p>
        <w:p w:rsidR="00743677" w:rsidRPr="00195D92" w:rsidRDefault="00743677">
          <w:pPr>
            <w:pStyle w:val="WPSOffice1"/>
            <w:tabs>
              <w:tab w:val="right" w:leader="dot" w:pos="8306"/>
            </w:tabs>
            <w:rPr>
              <w:rFonts w:asciiTheme="majorEastAsia" w:eastAsiaTheme="majorEastAsia" w:hAnsiTheme="majorEastAsia" w:cstheme="majorEastAsia"/>
              <w:sz w:val="21"/>
            </w:rPr>
          </w:pPr>
        </w:p>
        <w:p w:rsidR="00743677" w:rsidRPr="00195D92" w:rsidRDefault="005622FF">
          <w:pPr>
            <w:pStyle w:val="WPSOffice1"/>
            <w:tabs>
              <w:tab w:val="right" w:leader="dot" w:pos="8306"/>
            </w:tabs>
            <w:rPr>
              <w:rFonts w:asciiTheme="majorEastAsia" w:eastAsiaTheme="majorEastAsia" w:hAnsiTheme="majorEastAsia" w:cstheme="majorEastAsia"/>
              <w:sz w:val="21"/>
            </w:rPr>
          </w:pPr>
          <w:hyperlink w:anchor="_Toc27565_WPSOffice_Level1" w:history="1">
            <w:sdt>
              <w:sdtPr>
                <w:rPr>
                  <w:rFonts w:asciiTheme="majorEastAsia" w:eastAsiaTheme="majorEastAsia" w:hAnsiTheme="majorEastAsia" w:cstheme="majorEastAsia" w:hint="eastAsia"/>
                  <w:kern w:val="2"/>
                  <w:sz w:val="22"/>
                  <w:szCs w:val="24"/>
                </w:rPr>
                <w:id w:val="-587689630"/>
                <w:placeholder>
                  <w:docPart w:val="{4698afb2-3f53-46d2-bf49-5adb86b5438a}"/>
                </w:placeholder>
              </w:sdtPr>
              <w:sdtEndPr/>
              <w:sdtContent>
                <w:r w:rsidR="0097000A" w:rsidRPr="00195D92">
                  <w:rPr>
                    <w:rFonts w:ascii="Times New Roman" w:eastAsiaTheme="majorEastAsia" w:hAnsi="Times New Roman" w:cs="Times New Roman"/>
                    <w:sz w:val="21"/>
                  </w:rPr>
                  <w:t>2</w:t>
                </w:r>
                <w:r w:rsidR="0097000A" w:rsidRPr="00195D92">
                  <w:rPr>
                    <w:rFonts w:asciiTheme="majorEastAsia" w:eastAsiaTheme="majorEastAsia" w:hAnsiTheme="majorEastAsia" w:cstheme="majorEastAsia" w:hint="eastAsia"/>
                    <w:sz w:val="21"/>
                  </w:rPr>
                  <w:t>编制主要原则</w:t>
                </w:r>
              </w:sdtContent>
            </w:sdt>
            <w:r w:rsidR="0097000A" w:rsidRPr="00195D92">
              <w:rPr>
                <w:rFonts w:asciiTheme="majorEastAsia" w:eastAsiaTheme="majorEastAsia" w:hAnsiTheme="majorEastAsia" w:cstheme="majorEastAsia" w:hint="eastAsia"/>
                <w:sz w:val="21"/>
              </w:rPr>
              <w:tab/>
            </w:r>
            <w:bookmarkStart w:id="2" w:name="_Toc27565_WPSOffice_Level1Page"/>
            <w:r w:rsidR="0097000A" w:rsidRPr="00195D92">
              <w:rPr>
                <w:rFonts w:ascii="Times New Roman" w:eastAsiaTheme="majorEastAsia" w:hAnsi="Times New Roman" w:cs="Times New Roman"/>
                <w:sz w:val="21"/>
              </w:rPr>
              <w:t>1</w:t>
            </w:r>
            <w:bookmarkEnd w:id="2"/>
          </w:hyperlink>
        </w:p>
        <w:p w:rsidR="00743677" w:rsidRPr="00195D92" w:rsidRDefault="00743677">
          <w:pPr>
            <w:pStyle w:val="WPSOffice1"/>
            <w:tabs>
              <w:tab w:val="right" w:leader="dot" w:pos="8306"/>
            </w:tabs>
            <w:rPr>
              <w:rFonts w:asciiTheme="majorEastAsia" w:eastAsiaTheme="majorEastAsia" w:hAnsiTheme="majorEastAsia" w:cstheme="majorEastAsia"/>
              <w:sz w:val="21"/>
            </w:rPr>
          </w:pPr>
        </w:p>
        <w:p w:rsidR="00743677" w:rsidRPr="00195D92" w:rsidRDefault="005622FF">
          <w:pPr>
            <w:pStyle w:val="WPSOffice1"/>
            <w:tabs>
              <w:tab w:val="right" w:leader="dot" w:pos="8306"/>
            </w:tabs>
            <w:rPr>
              <w:rFonts w:asciiTheme="majorEastAsia" w:eastAsiaTheme="majorEastAsia" w:hAnsiTheme="majorEastAsia" w:cstheme="majorEastAsia"/>
              <w:sz w:val="21"/>
            </w:rPr>
          </w:pPr>
          <w:hyperlink w:anchor="_Toc4249_WPSOffice_Level1" w:history="1">
            <w:sdt>
              <w:sdtPr>
                <w:rPr>
                  <w:rFonts w:asciiTheme="majorEastAsia" w:eastAsiaTheme="majorEastAsia" w:hAnsiTheme="majorEastAsia" w:cstheme="majorEastAsia" w:hint="eastAsia"/>
                  <w:kern w:val="2"/>
                  <w:sz w:val="22"/>
                  <w:szCs w:val="24"/>
                </w:rPr>
                <w:id w:val="-1198858112"/>
                <w:placeholder>
                  <w:docPart w:val="{e29db11d-863f-4c5a-bb1f-e8fc808017b8}"/>
                </w:placeholder>
              </w:sdtPr>
              <w:sdtEndPr/>
              <w:sdtContent>
                <w:r w:rsidR="0097000A" w:rsidRPr="00195D92">
                  <w:rPr>
                    <w:rFonts w:ascii="Times New Roman" w:eastAsiaTheme="majorEastAsia" w:hAnsi="Times New Roman" w:cs="Times New Roman"/>
                    <w:sz w:val="21"/>
                  </w:rPr>
                  <w:t>3</w:t>
                </w:r>
                <w:r w:rsidR="0097000A" w:rsidRPr="00195D92">
                  <w:rPr>
                    <w:rFonts w:asciiTheme="majorEastAsia" w:eastAsiaTheme="majorEastAsia" w:hAnsiTheme="majorEastAsia" w:cstheme="majorEastAsia" w:hint="eastAsia"/>
                    <w:sz w:val="21"/>
                  </w:rPr>
                  <w:t>与其他标准文件的关系</w:t>
                </w:r>
              </w:sdtContent>
            </w:sdt>
            <w:r w:rsidR="0097000A" w:rsidRPr="00195D92">
              <w:rPr>
                <w:rFonts w:asciiTheme="majorEastAsia" w:eastAsiaTheme="majorEastAsia" w:hAnsiTheme="majorEastAsia" w:cstheme="majorEastAsia" w:hint="eastAsia"/>
                <w:sz w:val="21"/>
              </w:rPr>
              <w:tab/>
            </w:r>
            <w:bookmarkStart w:id="3" w:name="_Toc4249_WPSOffice_Level1Page"/>
            <w:r w:rsidR="0097000A" w:rsidRPr="00195D92">
              <w:rPr>
                <w:rFonts w:ascii="Times New Roman" w:eastAsiaTheme="majorEastAsia" w:hAnsi="Times New Roman" w:cs="Times New Roman"/>
                <w:sz w:val="21"/>
              </w:rPr>
              <w:t>1</w:t>
            </w:r>
            <w:bookmarkEnd w:id="3"/>
          </w:hyperlink>
        </w:p>
        <w:p w:rsidR="00743677" w:rsidRPr="00195D92" w:rsidRDefault="00743677">
          <w:pPr>
            <w:pStyle w:val="WPSOffice1"/>
            <w:tabs>
              <w:tab w:val="right" w:leader="dot" w:pos="8306"/>
            </w:tabs>
            <w:rPr>
              <w:rFonts w:asciiTheme="majorEastAsia" w:eastAsiaTheme="majorEastAsia" w:hAnsiTheme="majorEastAsia" w:cstheme="majorEastAsia"/>
              <w:sz w:val="21"/>
            </w:rPr>
          </w:pPr>
        </w:p>
        <w:p w:rsidR="00743677" w:rsidRPr="00195D92" w:rsidRDefault="005622FF">
          <w:pPr>
            <w:pStyle w:val="WPSOffice1"/>
            <w:tabs>
              <w:tab w:val="right" w:leader="dot" w:pos="8306"/>
            </w:tabs>
            <w:rPr>
              <w:rFonts w:asciiTheme="majorEastAsia" w:eastAsiaTheme="majorEastAsia" w:hAnsiTheme="majorEastAsia" w:cstheme="majorEastAsia"/>
              <w:sz w:val="21"/>
            </w:rPr>
          </w:pPr>
          <w:hyperlink w:anchor="_Toc28496_WPSOffice_Level1" w:history="1">
            <w:sdt>
              <w:sdtPr>
                <w:rPr>
                  <w:rFonts w:ascii="Times New Roman" w:eastAsiaTheme="majorEastAsia" w:hAnsi="Times New Roman" w:cs="Times New Roman"/>
                  <w:kern w:val="2"/>
                  <w:sz w:val="22"/>
                  <w:szCs w:val="24"/>
                </w:rPr>
                <w:id w:val="35328435"/>
                <w:placeholder>
                  <w:docPart w:val="{f7d554d6-6718-4d8a-8b16-efab6d4e2b86}"/>
                </w:placeholder>
              </w:sdtPr>
              <w:sdtEndPr>
                <w:rPr>
                  <w:rFonts w:asciiTheme="majorEastAsia" w:hAnsiTheme="majorEastAsia" w:cstheme="majorEastAsia" w:hint="eastAsia"/>
                </w:rPr>
              </w:sdtEndPr>
              <w:sdtContent>
                <w:r w:rsidR="0097000A" w:rsidRPr="00195D92">
                  <w:rPr>
                    <w:rFonts w:ascii="Times New Roman" w:eastAsiaTheme="majorEastAsia" w:hAnsi="Times New Roman" w:cs="Times New Roman"/>
                    <w:sz w:val="21"/>
                  </w:rPr>
                  <w:t>4</w:t>
                </w:r>
                <w:r w:rsidR="0097000A" w:rsidRPr="00195D92">
                  <w:rPr>
                    <w:rFonts w:asciiTheme="majorEastAsia" w:eastAsiaTheme="majorEastAsia" w:hAnsiTheme="majorEastAsia" w:cstheme="majorEastAsia" w:hint="eastAsia"/>
                    <w:sz w:val="21"/>
                  </w:rPr>
                  <w:t>主要工作过程</w:t>
                </w:r>
              </w:sdtContent>
            </w:sdt>
            <w:r w:rsidR="0097000A" w:rsidRPr="00195D92">
              <w:rPr>
                <w:rFonts w:asciiTheme="majorEastAsia" w:eastAsiaTheme="majorEastAsia" w:hAnsiTheme="majorEastAsia" w:cstheme="majorEastAsia" w:hint="eastAsia"/>
                <w:sz w:val="21"/>
              </w:rPr>
              <w:tab/>
            </w:r>
            <w:bookmarkStart w:id="4" w:name="_Toc28496_WPSOffice_Level1Page"/>
            <w:r w:rsidR="0097000A" w:rsidRPr="00195D92">
              <w:rPr>
                <w:rFonts w:ascii="Times New Roman" w:eastAsiaTheme="majorEastAsia" w:hAnsi="Times New Roman" w:cs="Times New Roman"/>
                <w:sz w:val="21"/>
              </w:rPr>
              <w:t>2</w:t>
            </w:r>
            <w:bookmarkEnd w:id="4"/>
          </w:hyperlink>
        </w:p>
        <w:p w:rsidR="00743677" w:rsidRPr="00195D92" w:rsidRDefault="00743677">
          <w:pPr>
            <w:pStyle w:val="WPSOffice1"/>
            <w:tabs>
              <w:tab w:val="right" w:leader="dot" w:pos="8306"/>
            </w:tabs>
            <w:rPr>
              <w:rFonts w:asciiTheme="majorEastAsia" w:eastAsiaTheme="majorEastAsia" w:hAnsiTheme="majorEastAsia" w:cstheme="majorEastAsia"/>
              <w:sz w:val="21"/>
            </w:rPr>
          </w:pPr>
        </w:p>
        <w:p w:rsidR="00743677" w:rsidRPr="00195D92" w:rsidRDefault="005622FF">
          <w:pPr>
            <w:pStyle w:val="WPSOffice1"/>
            <w:tabs>
              <w:tab w:val="right" w:leader="dot" w:pos="8306"/>
            </w:tabs>
            <w:rPr>
              <w:rFonts w:asciiTheme="majorEastAsia" w:eastAsiaTheme="majorEastAsia" w:hAnsiTheme="majorEastAsia" w:cstheme="majorEastAsia"/>
              <w:sz w:val="21"/>
            </w:rPr>
          </w:pPr>
          <w:hyperlink w:anchor="_Toc8491_WPSOffice_Level1" w:history="1">
            <w:sdt>
              <w:sdtPr>
                <w:rPr>
                  <w:rFonts w:asciiTheme="majorEastAsia" w:eastAsiaTheme="majorEastAsia" w:hAnsiTheme="majorEastAsia" w:cstheme="majorEastAsia" w:hint="eastAsia"/>
                  <w:kern w:val="2"/>
                  <w:sz w:val="22"/>
                  <w:szCs w:val="24"/>
                </w:rPr>
                <w:id w:val="1519347878"/>
              </w:sdtPr>
              <w:sdtEndPr/>
              <w:sdtContent>
                <w:r w:rsidR="0097000A" w:rsidRPr="00195D92">
                  <w:rPr>
                    <w:rFonts w:ascii="Times New Roman" w:eastAsiaTheme="majorEastAsia" w:hAnsi="Times New Roman" w:cs="Times New Roman"/>
                    <w:sz w:val="21"/>
                  </w:rPr>
                  <w:t>5</w:t>
                </w:r>
                <w:r w:rsidR="0097000A" w:rsidRPr="00195D92">
                  <w:rPr>
                    <w:rFonts w:asciiTheme="majorEastAsia" w:eastAsiaTheme="majorEastAsia" w:hAnsiTheme="majorEastAsia" w:cstheme="majorEastAsia" w:hint="eastAsia"/>
                    <w:sz w:val="21"/>
                  </w:rPr>
                  <w:t>标准结构和内容</w:t>
                </w:r>
              </w:sdtContent>
            </w:sdt>
            <w:r w:rsidR="0097000A" w:rsidRPr="00195D92">
              <w:rPr>
                <w:rFonts w:asciiTheme="majorEastAsia" w:eastAsiaTheme="majorEastAsia" w:hAnsiTheme="majorEastAsia" w:cstheme="majorEastAsia" w:hint="eastAsia"/>
                <w:sz w:val="21"/>
              </w:rPr>
              <w:tab/>
            </w:r>
            <w:bookmarkStart w:id="5" w:name="_Toc8491_WPSOffice_Level1Page"/>
            <w:r w:rsidR="0097000A" w:rsidRPr="00195D92">
              <w:rPr>
                <w:rFonts w:ascii="Times New Roman" w:eastAsiaTheme="majorEastAsia" w:hAnsi="Times New Roman" w:cs="Times New Roman"/>
                <w:sz w:val="21"/>
              </w:rPr>
              <w:t>2</w:t>
            </w:r>
            <w:bookmarkEnd w:id="5"/>
          </w:hyperlink>
        </w:p>
        <w:p w:rsidR="00743677" w:rsidRPr="00195D92" w:rsidRDefault="00743677">
          <w:pPr>
            <w:pStyle w:val="WPSOffice1"/>
            <w:tabs>
              <w:tab w:val="right" w:leader="dot" w:pos="8306"/>
            </w:tabs>
            <w:rPr>
              <w:rFonts w:asciiTheme="majorEastAsia" w:eastAsiaTheme="majorEastAsia" w:hAnsiTheme="majorEastAsia" w:cstheme="majorEastAsia"/>
              <w:sz w:val="21"/>
            </w:rPr>
          </w:pPr>
        </w:p>
        <w:p w:rsidR="00743677" w:rsidRPr="00195D92" w:rsidRDefault="005622FF">
          <w:pPr>
            <w:pStyle w:val="WPSOffice1"/>
            <w:tabs>
              <w:tab w:val="right" w:leader="dot" w:pos="8306"/>
            </w:tabs>
            <w:rPr>
              <w:rFonts w:asciiTheme="majorEastAsia" w:eastAsiaTheme="majorEastAsia" w:hAnsiTheme="majorEastAsia" w:cstheme="majorEastAsia"/>
              <w:sz w:val="21"/>
            </w:rPr>
          </w:pPr>
          <w:hyperlink w:anchor="_Toc15947_WPSOffice_Level1" w:history="1">
            <w:sdt>
              <w:sdtPr>
                <w:rPr>
                  <w:rFonts w:ascii="Times New Roman" w:eastAsiaTheme="majorEastAsia" w:hAnsi="Times New Roman" w:cs="Times New Roman"/>
                  <w:kern w:val="2"/>
                  <w:sz w:val="22"/>
                  <w:szCs w:val="24"/>
                </w:rPr>
                <w:id w:val="-179741774"/>
              </w:sdtPr>
              <w:sdtEndPr>
                <w:rPr>
                  <w:rFonts w:asciiTheme="majorEastAsia" w:hAnsiTheme="majorEastAsia" w:cstheme="majorEastAsia" w:hint="eastAsia"/>
                </w:rPr>
              </w:sdtEndPr>
              <w:sdtContent>
                <w:r w:rsidR="0097000A" w:rsidRPr="00195D92">
                  <w:rPr>
                    <w:rFonts w:ascii="Times New Roman" w:eastAsiaTheme="majorEastAsia" w:hAnsi="Times New Roman" w:cs="Times New Roman"/>
                    <w:sz w:val="21"/>
                  </w:rPr>
                  <w:t>6</w:t>
                </w:r>
                <w:r w:rsidR="0097000A" w:rsidRPr="00195D92">
                  <w:rPr>
                    <w:rFonts w:asciiTheme="majorEastAsia" w:eastAsiaTheme="majorEastAsia" w:hAnsiTheme="majorEastAsia" w:cstheme="majorEastAsia" w:hint="eastAsia"/>
                    <w:sz w:val="21"/>
                  </w:rPr>
                  <w:t>标准说明</w:t>
                </w:r>
              </w:sdtContent>
            </w:sdt>
            <w:r w:rsidR="0097000A" w:rsidRPr="00195D92">
              <w:rPr>
                <w:rFonts w:asciiTheme="majorEastAsia" w:eastAsiaTheme="majorEastAsia" w:hAnsiTheme="majorEastAsia" w:cstheme="majorEastAsia" w:hint="eastAsia"/>
                <w:sz w:val="21"/>
              </w:rPr>
              <w:tab/>
            </w:r>
            <w:bookmarkStart w:id="6" w:name="_Toc15947_WPSOffice_Level1Page"/>
            <w:r w:rsidR="0097000A" w:rsidRPr="00195D92">
              <w:rPr>
                <w:rFonts w:ascii="Times New Roman" w:eastAsiaTheme="majorEastAsia" w:hAnsi="Times New Roman" w:cs="Times New Roman"/>
                <w:sz w:val="21"/>
              </w:rPr>
              <w:t>2</w:t>
            </w:r>
            <w:bookmarkEnd w:id="6"/>
          </w:hyperlink>
        </w:p>
        <w:bookmarkEnd w:id="0" w:displacedByCustomXml="next"/>
      </w:sdtContent>
    </w:sdt>
    <w:p w:rsidR="00743677" w:rsidRDefault="00743677">
      <w:pPr>
        <w:rPr>
          <w:rFonts w:asciiTheme="majorEastAsia" w:eastAsiaTheme="majorEastAsia" w:hAnsiTheme="majorEastAsia" w:cstheme="majorEastAsia"/>
          <w:bCs/>
          <w:color w:val="000000"/>
          <w:sz w:val="28"/>
          <w:szCs w:val="28"/>
        </w:rPr>
      </w:pPr>
    </w:p>
    <w:p w:rsidR="00743677" w:rsidRDefault="00743677">
      <w:pPr>
        <w:rPr>
          <w:rFonts w:ascii="黑体" w:eastAsia="黑体"/>
          <w:bCs/>
          <w:color w:val="000000"/>
          <w:sz w:val="52"/>
          <w:szCs w:val="52"/>
        </w:rPr>
      </w:pPr>
    </w:p>
    <w:p w:rsidR="00743677" w:rsidRDefault="00743677">
      <w:pPr>
        <w:rPr>
          <w:rFonts w:ascii="黑体" w:eastAsia="黑体"/>
          <w:bCs/>
          <w:color w:val="000000"/>
          <w:sz w:val="52"/>
          <w:szCs w:val="52"/>
        </w:rPr>
      </w:pPr>
    </w:p>
    <w:p w:rsidR="00743677" w:rsidRDefault="00743677">
      <w:pPr>
        <w:rPr>
          <w:rFonts w:ascii="黑体" w:eastAsia="黑体"/>
          <w:bCs/>
          <w:color w:val="000000"/>
          <w:sz w:val="52"/>
          <w:szCs w:val="52"/>
        </w:rPr>
      </w:pPr>
    </w:p>
    <w:p w:rsidR="00743677" w:rsidRDefault="00743677">
      <w:pPr>
        <w:rPr>
          <w:rFonts w:ascii="黑体" w:eastAsia="黑体"/>
          <w:bCs/>
          <w:color w:val="000000"/>
          <w:sz w:val="52"/>
          <w:szCs w:val="52"/>
        </w:rPr>
      </w:pPr>
    </w:p>
    <w:p w:rsidR="00743677" w:rsidRDefault="00743677">
      <w:pPr>
        <w:rPr>
          <w:rFonts w:ascii="黑体" w:eastAsia="黑体"/>
          <w:bCs/>
          <w:color w:val="000000"/>
          <w:sz w:val="52"/>
          <w:szCs w:val="52"/>
        </w:rPr>
      </w:pPr>
    </w:p>
    <w:p w:rsidR="00743677" w:rsidRDefault="00743677">
      <w:pPr>
        <w:rPr>
          <w:rFonts w:ascii="黑体" w:eastAsia="黑体"/>
          <w:bCs/>
          <w:color w:val="000000"/>
          <w:sz w:val="52"/>
          <w:szCs w:val="52"/>
        </w:rPr>
      </w:pPr>
    </w:p>
    <w:p w:rsidR="00743677" w:rsidRDefault="00743677" w:rsidP="008816F0">
      <w:pPr>
        <w:keepNext/>
        <w:keepLines/>
        <w:spacing w:beforeLines="100" w:before="312" w:afterLines="100" w:after="312"/>
        <w:outlineLvl w:val="0"/>
        <w:rPr>
          <w:rFonts w:ascii="Times New Roman" w:eastAsia="黑体" w:hAnsi="Times New Roman" w:cs="Times New Roman"/>
          <w:kern w:val="44"/>
          <w:szCs w:val="21"/>
        </w:rPr>
        <w:sectPr w:rsidR="00743677">
          <w:footerReference w:type="default" r:id="rId9"/>
          <w:pgSz w:w="11906" w:h="16838"/>
          <w:pgMar w:top="1440" w:right="1800" w:bottom="1440" w:left="1800" w:header="851" w:footer="992" w:gutter="0"/>
          <w:pgNumType w:start="1"/>
          <w:cols w:space="425"/>
          <w:docGrid w:type="lines" w:linePitch="312"/>
        </w:sectPr>
      </w:pPr>
      <w:bookmarkStart w:id="7" w:name="_Toc498449246"/>
      <w:bookmarkStart w:id="8" w:name="_Toc485734893"/>
      <w:bookmarkStart w:id="9" w:name="_Toc309992161"/>
      <w:bookmarkStart w:id="10" w:name="_Toc478133165"/>
      <w:bookmarkStart w:id="11" w:name="_Toc485733244"/>
    </w:p>
    <w:p w:rsidR="00743677" w:rsidRDefault="0097000A" w:rsidP="008816F0">
      <w:pPr>
        <w:keepNext/>
        <w:keepLines/>
        <w:spacing w:beforeLines="100" w:before="312" w:afterLines="100" w:after="312"/>
        <w:outlineLvl w:val="0"/>
        <w:rPr>
          <w:rFonts w:ascii="Times New Roman" w:eastAsia="黑体" w:hAnsi="Times New Roman" w:cs="Times New Roman"/>
          <w:kern w:val="44"/>
          <w:szCs w:val="21"/>
        </w:rPr>
      </w:pPr>
      <w:bookmarkStart w:id="12" w:name="_Toc14177_WPSOffice_Level1"/>
      <w:r>
        <w:rPr>
          <w:rFonts w:ascii="Times New Roman" w:eastAsia="黑体" w:hAnsi="Times New Roman" w:cs="Times New Roman"/>
          <w:kern w:val="44"/>
          <w:szCs w:val="21"/>
        </w:rPr>
        <w:lastRenderedPageBreak/>
        <w:t xml:space="preserve">1 </w:t>
      </w:r>
      <w:r>
        <w:rPr>
          <w:rFonts w:ascii="Times New Roman" w:eastAsia="黑体" w:hAnsi="Times New Roman" w:cs="Times New Roman"/>
          <w:kern w:val="44"/>
          <w:szCs w:val="21"/>
        </w:rPr>
        <w:t>编制背景</w:t>
      </w:r>
      <w:bookmarkEnd w:id="7"/>
      <w:bookmarkEnd w:id="8"/>
      <w:bookmarkEnd w:id="9"/>
      <w:bookmarkEnd w:id="10"/>
      <w:bookmarkEnd w:id="11"/>
      <w:bookmarkEnd w:id="12"/>
    </w:p>
    <w:p w:rsidR="00743677" w:rsidRDefault="0097000A">
      <w:pPr>
        <w:tabs>
          <w:tab w:val="left" w:pos="430"/>
        </w:tabs>
        <w:ind w:firstLineChars="200" w:firstLine="420"/>
        <w:rPr>
          <w:rFonts w:ascii="宋体" w:eastAsia="宋体" w:hAnsi="宋体" w:cs="Times New Roman"/>
          <w:color w:val="000000" w:themeColor="text1"/>
          <w:kern w:val="0"/>
          <w:szCs w:val="21"/>
        </w:rPr>
      </w:pPr>
      <w:r>
        <w:rPr>
          <w:rFonts w:ascii="Times New Roman"/>
        </w:rPr>
        <w:t>为</w:t>
      </w:r>
      <w:r>
        <w:rPr>
          <w:rFonts w:ascii="Times New Roman" w:hint="eastAsia"/>
        </w:rPr>
        <w:t>标准</w:t>
      </w:r>
      <w:r>
        <w:rPr>
          <w:rFonts w:ascii="宋体" w:eastAsia="宋体" w:hAnsi="宋体" w:cs="Times New Roman" w:hint="eastAsia"/>
          <w:color w:val="000000" w:themeColor="text1"/>
          <w:kern w:val="0"/>
          <w:szCs w:val="21"/>
        </w:rPr>
        <w:t>低压真空快速转换开关电器</w:t>
      </w:r>
      <w:r w:rsidR="00D24390">
        <w:rPr>
          <w:rFonts w:ascii="宋体" w:eastAsia="宋体" w:hAnsi="宋体" w:cs="Times New Roman" w:hint="eastAsia"/>
          <w:color w:val="000000" w:themeColor="text1"/>
          <w:kern w:val="0"/>
          <w:szCs w:val="21"/>
        </w:rPr>
        <w:t>的设计应用</w:t>
      </w:r>
      <w:r>
        <w:rPr>
          <w:rFonts w:ascii="Times New Roman"/>
        </w:rPr>
        <w:t>，支撑</w:t>
      </w:r>
      <w:r>
        <w:rPr>
          <w:rFonts w:ascii="Times New Roman" w:hint="eastAsia"/>
        </w:rPr>
        <w:t>开关行业</w:t>
      </w:r>
      <w:r>
        <w:rPr>
          <w:rFonts w:ascii="Times New Roman"/>
        </w:rPr>
        <w:t>发展，满足</w:t>
      </w:r>
      <w:r>
        <w:rPr>
          <w:rFonts w:ascii="Times New Roman" w:hint="eastAsia"/>
        </w:rPr>
        <w:t>现代工业经济</w:t>
      </w:r>
      <w:r>
        <w:rPr>
          <w:rFonts w:ascii="Times New Roman"/>
        </w:rPr>
        <w:t>社会发展的需求，特制定本标准。</w:t>
      </w:r>
      <w:r>
        <w:rPr>
          <w:rFonts w:ascii="宋体" w:eastAsia="宋体" w:hAnsi="宋体" w:cs="Times New Roman" w:hint="eastAsia"/>
          <w:color w:val="000000" w:themeColor="text1"/>
          <w:kern w:val="0"/>
          <w:szCs w:val="21"/>
        </w:rPr>
        <w:t>本标准适用于额定电压交流不超过</w:t>
      </w:r>
      <w:r>
        <w:rPr>
          <w:rFonts w:ascii="Times New Roman" w:eastAsia="宋体" w:hAnsi="Times New Roman" w:cs="Times New Roman" w:hint="eastAsia"/>
          <w:color w:val="000000" w:themeColor="text1"/>
          <w:kern w:val="0"/>
          <w:szCs w:val="21"/>
        </w:rPr>
        <w:t>1</w:t>
      </w:r>
      <w:r>
        <w:rPr>
          <w:rFonts w:ascii="Times New Roman" w:eastAsia="宋体" w:hAnsi="Times New Roman" w:cs="Times New Roman"/>
          <w:color w:val="000000" w:themeColor="text1"/>
          <w:kern w:val="0"/>
          <w:szCs w:val="21"/>
        </w:rPr>
        <w:t>000V</w:t>
      </w:r>
      <w:r>
        <w:rPr>
          <w:rFonts w:ascii="宋体" w:eastAsia="宋体" w:hAnsi="宋体" w:cs="Times New Roman" w:hint="eastAsia"/>
          <w:color w:val="000000" w:themeColor="text1"/>
          <w:kern w:val="0"/>
          <w:szCs w:val="21"/>
        </w:rPr>
        <w:t>、</w:t>
      </w:r>
      <w:proofErr w:type="gramStart"/>
      <w:r>
        <w:rPr>
          <w:rFonts w:ascii="宋体" w:eastAsia="宋体" w:hAnsi="宋体" w:cs="Times New Roman" w:hint="eastAsia"/>
          <w:color w:val="000000" w:themeColor="text1"/>
          <w:kern w:val="0"/>
          <w:szCs w:val="21"/>
        </w:rPr>
        <w:t>直流不</w:t>
      </w:r>
      <w:proofErr w:type="gramEnd"/>
      <w:r>
        <w:rPr>
          <w:rFonts w:ascii="宋体" w:eastAsia="宋体" w:hAnsi="宋体" w:cs="Times New Roman" w:hint="eastAsia"/>
          <w:color w:val="000000" w:themeColor="text1"/>
          <w:kern w:val="0"/>
          <w:szCs w:val="21"/>
        </w:rPr>
        <w:t>超过</w:t>
      </w:r>
      <w:r>
        <w:rPr>
          <w:rFonts w:ascii="Times New Roman" w:eastAsia="宋体" w:hAnsi="Times New Roman" w:cs="Times New Roman" w:hint="eastAsia"/>
          <w:color w:val="000000" w:themeColor="text1"/>
          <w:kern w:val="0"/>
          <w:szCs w:val="21"/>
        </w:rPr>
        <w:t>1</w:t>
      </w:r>
      <w:r>
        <w:rPr>
          <w:rFonts w:ascii="Times New Roman" w:eastAsia="宋体" w:hAnsi="Times New Roman" w:cs="Times New Roman"/>
          <w:color w:val="000000" w:themeColor="text1"/>
          <w:kern w:val="0"/>
          <w:szCs w:val="21"/>
        </w:rPr>
        <w:t>500V</w:t>
      </w:r>
      <w:r>
        <w:rPr>
          <w:rFonts w:ascii="宋体" w:eastAsia="宋体" w:hAnsi="宋体" w:cs="Times New Roman" w:hint="eastAsia"/>
          <w:color w:val="000000" w:themeColor="text1"/>
          <w:kern w:val="0"/>
          <w:szCs w:val="21"/>
        </w:rPr>
        <w:t>的低压真空快速转换开关电器，用于要求负荷连续运行的供电系统。</w:t>
      </w:r>
    </w:p>
    <w:p w:rsidR="00743677" w:rsidRDefault="0097000A" w:rsidP="00002ABF">
      <w:pPr>
        <w:ind w:firstLine="420"/>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本标准重点规定了低压真空快速转换开关电器的技术要求、试验方法、标志、包装、运输及贮存。</w:t>
      </w:r>
    </w:p>
    <w:p w:rsidR="00743677" w:rsidRDefault="0097000A" w:rsidP="008816F0">
      <w:pPr>
        <w:keepNext/>
        <w:keepLines/>
        <w:spacing w:beforeLines="100" w:before="312" w:afterLines="100" w:after="312"/>
        <w:outlineLvl w:val="0"/>
        <w:rPr>
          <w:rFonts w:ascii="宋体" w:eastAsia="宋体" w:hAnsi="宋体" w:cs="Times New Roman"/>
          <w:color w:val="000000" w:themeColor="text1"/>
          <w:kern w:val="0"/>
          <w:szCs w:val="21"/>
        </w:rPr>
      </w:pPr>
      <w:bookmarkStart w:id="13" w:name="_Toc309992162"/>
      <w:bookmarkStart w:id="14" w:name="_Toc498449247"/>
      <w:bookmarkStart w:id="15" w:name="_Toc485733245"/>
      <w:bookmarkStart w:id="16" w:name="_Toc478133166"/>
      <w:bookmarkStart w:id="17" w:name="_Toc485734894"/>
      <w:bookmarkStart w:id="18" w:name="_Toc27565_WPSOffice_Level1"/>
      <w:r>
        <w:rPr>
          <w:rFonts w:ascii="Times New Roman" w:eastAsia="黑体" w:hAnsi="Times New Roman" w:cs="Times New Roman"/>
          <w:kern w:val="44"/>
          <w:szCs w:val="21"/>
        </w:rPr>
        <w:t xml:space="preserve">2 </w:t>
      </w:r>
      <w:r>
        <w:rPr>
          <w:rFonts w:ascii="Times New Roman" w:eastAsia="黑体" w:hAnsi="Times New Roman" w:cs="Times New Roman"/>
          <w:kern w:val="44"/>
          <w:szCs w:val="21"/>
        </w:rPr>
        <w:t>编制主要原则</w:t>
      </w:r>
      <w:bookmarkEnd w:id="13"/>
      <w:bookmarkEnd w:id="14"/>
      <w:bookmarkEnd w:id="15"/>
      <w:bookmarkEnd w:id="16"/>
      <w:bookmarkEnd w:id="17"/>
      <w:bookmarkEnd w:id="18"/>
    </w:p>
    <w:p w:rsidR="00743677" w:rsidRDefault="0097000A">
      <w:pPr>
        <w:ind w:firstLine="420"/>
        <w:rPr>
          <w:rFonts w:ascii="Times New Roman"/>
        </w:rPr>
      </w:pPr>
      <w:r>
        <w:rPr>
          <w:rFonts w:ascii="宋体" w:eastAsia="宋体" w:hAnsi="宋体" w:cs="Times New Roman" w:hint="eastAsia"/>
          <w:color w:val="000000" w:themeColor="text1"/>
          <w:kern w:val="0"/>
          <w:szCs w:val="21"/>
        </w:rPr>
        <w:t>本标准的制定工作遵循“统一性、协调性、适用性、一致性、规范性”的原则，本着先进性、科学性、合理性和可操作性的原则，依据</w:t>
      </w:r>
      <w:r>
        <w:rPr>
          <w:rFonts w:ascii="Times New Roman"/>
        </w:rPr>
        <w:t>《</w:t>
      </w:r>
      <w:r>
        <w:rPr>
          <w:rFonts w:eastAsia="宋体" w:hAnsi="宋体" w:cs="Times New Roman" w:hint="eastAsia"/>
          <w:color w:val="000000" w:themeColor="text1"/>
        </w:rPr>
        <w:t>低压开关设备和控制设备第</w:t>
      </w:r>
      <w:r>
        <w:rPr>
          <w:rFonts w:ascii="Times New Roman" w:eastAsia="宋体" w:hAnsi="Times New Roman" w:cs="Times New Roman" w:hint="eastAsia"/>
          <w:color w:val="000000" w:themeColor="text1"/>
          <w:kern w:val="0"/>
          <w:szCs w:val="21"/>
        </w:rPr>
        <w:t>6-1</w:t>
      </w:r>
      <w:r>
        <w:rPr>
          <w:rFonts w:eastAsia="宋体" w:hAnsi="宋体" w:cs="Times New Roman" w:hint="eastAsia"/>
          <w:color w:val="000000" w:themeColor="text1"/>
        </w:rPr>
        <w:t>部分：多功能电器转换开关电器</w:t>
      </w:r>
      <w:r>
        <w:rPr>
          <w:rFonts w:ascii="Times New Roman"/>
        </w:rPr>
        <w:t>》（</w:t>
      </w:r>
      <w:r>
        <w:rPr>
          <w:rFonts w:ascii="Times New Roman" w:eastAsia="宋体" w:hAnsi="Times New Roman" w:cs="Times New Roman" w:hint="eastAsia"/>
          <w:color w:val="000000" w:themeColor="text1"/>
          <w:kern w:val="0"/>
          <w:szCs w:val="21"/>
        </w:rPr>
        <w:t>GB 14048.11-2016</w:t>
      </w:r>
      <w:r>
        <w:rPr>
          <w:rFonts w:ascii="Times New Roman"/>
        </w:rPr>
        <w:t>）等技术标准，</w:t>
      </w:r>
      <w:r>
        <w:rPr>
          <w:rFonts w:ascii="Times New Roman" w:hint="eastAsia"/>
        </w:rPr>
        <w:t>结合现代真空开关电器的设计制造经验制定。为各单位的</w:t>
      </w:r>
      <w:r>
        <w:rPr>
          <w:rFonts w:ascii="宋体" w:eastAsia="宋体" w:hAnsi="宋体" w:cs="Times New Roman" w:hint="eastAsia"/>
          <w:color w:val="000000" w:themeColor="text1"/>
          <w:kern w:val="0"/>
          <w:szCs w:val="21"/>
        </w:rPr>
        <w:t>低压真空快速转换开关电器的设计规划、试验方法、标志、包装、运输及贮存</w:t>
      </w:r>
      <w:r>
        <w:rPr>
          <w:rFonts w:ascii="Times New Roman"/>
        </w:rPr>
        <w:t>提出了明确、可操作的规范性技术规定</w:t>
      </w:r>
      <w:r>
        <w:rPr>
          <w:rFonts w:ascii="Times New Roman" w:hint="eastAsia"/>
        </w:rPr>
        <w:t>。</w:t>
      </w:r>
    </w:p>
    <w:p w:rsidR="00743677" w:rsidRDefault="0097000A" w:rsidP="00002ABF">
      <w:pPr>
        <w:ind w:firstLine="420"/>
        <w:rPr>
          <w:rFonts w:ascii="Times New Roman" w:hint="eastAsia"/>
        </w:rPr>
      </w:pPr>
      <w:r>
        <w:rPr>
          <w:rFonts w:ascii="Times New Roman" w:hint="eastAsia"/>
        </w:rPr>
        <w:t>本标准借鉴了实际生产过程中的相关工艺指标并把相关要求纳入了本标准中。使标准内容及指标更加符合实际运用。</w:t>
      </w:r>
    </w:p>
    <w:p w:rsidR="00743677" w:rsidRDefault="0097000A">
      <w:pPr>
        <w:pStyle w:val="1"/>
        <w:spacing w:before="312" w:after="312"/>
        <w:rPr>
          <w:szCs w:val="21"/>
        </w:rPr>
      </w:pPr>
      <w:bookmarkStart w:id="19" w:name="_Toc498449248"/>
      <w:bookmarkStart w:id="20" w:name="_Toc485733246"/>
      <w:bookmarkStart w:id="21" w:name="_Toc309992163"/>
      <w:bookmarkStart w:id="22" w:name="_Toc485734895"/>
      <w:bookmarkStart w:id="23" w:name="_Toc478133167"/>
      <w:bookmarkStart w:id="24" w:name="_Toc4249_WPSOffice_Level1"/>
      <w:r>
        <w:rPr>
          <w:szCs w:val="21"/>
        </w:rPr>
        <w:t xml:space="preserve">3 </w:t>
      </w:r>
      <w:r>
        <w:rPr>
          <w:szCs w:val="21"/>
        </w:rPr>
        <w:t>与其他标准文件的关系</w:t>
      </w:r>
      <w:bookmarkEnd w:id="19"/>
      <w:bookmarkEnd w:id="20"/>
      <w:bookmarkEnd w:id="21"/>
      <w:bookmarkEnd w:id="22"/>
      <w:bookmarkEnd w:id="23"/>
      <w:bookmarkEnd w:id="24"/>
    </w:p>
    <w:p w:rsidR="00743677" w:rsidRDefault="0097000A">
      <w:pPr>
        <w:ind w:firstLine="420"/>
        <w:rPr>
          <w:rFonts w:ascii="Times New Roman"/>
        </w:rPr>
      </w:pPr>
      <w:r>
        <w:rPr>
          <w:rFonts w:ascii="Times New Roman" w:hint="eastAsia"/>
        </w:rPr>
        <w:t>本标准在制定的过程中，参考并引用了以下标准：</w:t>
      </w:r>
    </w:p>
    <w:p w:rsidR="00743677" w:rsidRDefault="0097000A">
      <w:pPr>
        <w:pStyle w:val="a"/>
        <w:tabs>
          <w:tab w:val="center" w:pos="4201"/>
          <w:tab w:val="right" w:leader="dot" w:pos="9298"/>
        </w:tabs>
        <w:spacing w:line="340" w:lineRule="exact"/>
        <w:ind w:firstLine="420"/>
        <w:rPr>
          <w:rFonts w:eastAsia="宋体" w:hAnsi="宋体" w:cs="Times New Roman"/>
          <w:color w:val="000000" w:themeColor="text1"/>
        </w:rPr>
      </w:pPr>
      <w:r>
        <w:rPr>
          <w:rFonts w:ascii="Times New Roman" w:eastAsia="宋体" w:hAnsi="Times New Roman" w:cs="Times New Roman" w:hint="eastAsia"/>
          <w:color w:val="000000" w:themeColor="text1"/>
          <w:kern w:val="0"/>
          <w:szCs w:val="21"/>
        </w:rPr>
        <w:t>GB/T 191-2008</w:t>
      </w:r>
      <w:r>
        <w:rPr>
          <w:rFonts w:eastAsia="宋体" w:hAnsi="宋体" w:cs="Times New Roman" w:hint="eastAsia"/>
          <w:color w:val="000000" w:themeColor="text1"/>
        </w:rPr>
        <w:t>包装储运图示标志</w:t>
      </w:r>
    </w:p>
    <w:p w:rsidR="00743677" w:rsidRDefault="0097000A">
      <w:pPr>
        <w:pStyle w:val="a"/>
        <w:tabs>
          <w:tab w:val="center" w:pos="4201"/>
          <w:tab w:val="right" w:leader="dot" w:pos="9298"/>
        </w:tabs>
        <w:spacing w:line="340" w:lineRule="exact"/>
        <w:ind w:firstLine="420"/>
        <w:rPr>
          <w:rFonts w:eastAsia="宋体" w:hAnsi="宋体" w:cs="Times New Roman"/>
          <w:color w:val="000000" w:themeColor="text1"/>
        </w:rPr>
      </w:pPr>
      <w:r>
        <w:rPr>
          <w:rFonts w:ascii="Times New Roman" w:eastAsia="宋体" w:hAnsi="Times New Roman" w:cs="Times New Roman" w:hint="eastAsia"/>
          <w:color w:val="000000" w:themeColor="text1"/>
          <w:kern w:val="0"/>
          <w:szCs w:val="21"/>
        </w:rPr>
        <w:t>GB 4208-2017</w:t>
      </w:r>
      <w:r>
        <w:rPr>
          <w:rFonts w:eastAsia="宋体" w:hAnsi="宋体" w:cs="Times New Roman" w:hint="eastAsia"/>
          <w:color w:val="000000" w:themeColor="text1"/>
        </w:rPr>
        <w:t>外壳防护等级(</w:t>
      </w:r>
      <w:r>
        <w:rPr>
          <w:rFonts w:ascii="Times New Roman" w:eastAsia="宋体" w:hAnsi="Times New Roman" w:cs="Times New Roman" w:hint="eastAsia"/>
          <w:color w:val="000000" w:themeColor="text1"/>
          <w:kern w:val="0"/>
          <w:szCs w:val="21"/>
        </w:rPr>
        <w:t>IP</w:t>
      </w:r>
      <w:r>
        <w:rPr>
          <w:rFonts w:eastAsia="宋体" w:hAnsi="宋体" w:cs="Times New Roman" w:hint="eastAsia"/>
          <w:color w:val="000000" w:themeColor="text1"/>
        </w:rPr>
        <w:t>代码)</w:t>
      </w:r>
    </w:p>
    <w:p w:rsidR="00743677" w:rsidRDefault="0097000A">
      <w:pPr>
        <w:pStyle w:val="a"/>
        <w:tabs>
          <w:tab w:val="center" w:pos="4201"/>
          <w:tab w:val="right" w:leader="dot" w:pos="9298"/>
        </w:tabs>
        <w:spacing w:line="340" w:lineRule="exact"/>
        <w:ind w:firstLine="420"/>
        <w:rPr>
          <w:rFonts w:eastAsia="宋体" w:hAnsi="宋体" w:cs="Times New Roman"/>
          <w:color w:val="000000" w:themeColor="text1"/>
        </w:rPr>
      </w:pPr>
      <w:r>
        <w:rPr>
          <w:rFonts w:ascii="Times New Roman" w:eastAsia="宋体" w:hAnsi="Times New Roman" w:cs="Times New Roman" w:hint="eastAsia"/>
          <w:color w:val="000000" w:themeColor="text1"/>
          <w:kern w:val="0"/>
          <w:szCs w:val="21"/>
        </w:rPr>
        <w:t>GB/T 5465.2-2008</w:t>
      </w:r>
      <w:r>
        <w:rPr>
          <w:rFonts w:eastAsia="宋体" w:hAnsi="宋体" w:cs="Times New Roman" w:hint="eastAsia"/>
          <w:color w:val="000000" w:themeColor="text1"/>
        </w:rPr>
        <w:t>电器设备用图形符号</w:t>
      </w:r>
    </w:p>
    <w:p w:rsidR="00743677" w:rsidRDefault="0097000A">
      <w:pPr>
        <w:pStyle w:val="a"/>
        <w:tabs>
          <w:tab w:val="center" w:pos="4201"/>
          <w:tab w:val="right" w:leader="dot" w:pos="9298"/>
        </w:tabs>
        <w:spacing w:line="340" w:lineRule="exact"/>
        <w:ind w:firstLine="420"/>
        <w:rPr>
          <w:rFonts w:eastAsia="宋体" w:hAnsi="宋体" w:cs="Times New Roman"/>
          <w:color w:val="000000" w:themeColor="text1"/>
        </w:rPr>
      </w:pPr>
      <w:r>
        <w:rPr>
          <w:rFonts w:ascii="Times New Roman" w:eastAsia="宋体" w:hAnsi="Times New Roman" w:cs="Times New Roman" w:hint="eastAsia"/>
          <w:color w:val="000000" w:themeColor="text1"/>
          <w:kern w:val="0"/>
          <w:szCs w:val="21"/>
        </w:rPr>
        <w:t>GB 7251.1-2013</w:t>
      </w:r>
      <w:r>
        <w:rPr>
          <w:rFonts w:eastAsia="宋体" w:hAnsi="宋体" w:cs="Times New Roman" w:hint="eastAsia"/>
          <w:color w:val="000000" w:themeColor="text1"/>
        </w:rPr>
        <w:t>低压成套开关设备和控制设备第</w:t>
      </w:r>
      <w:r>
        <w:rPr>
          <w:rFonts w:ascii="Times New Roman" w:eastAsia="宋体" w:hAnsi="Times New Roman" w:cs="Times New Roman" w:hint="eastAsia"/>
          <w:color w:val="000000" w:themeColor="text1"/>
          <w:kern w:val="0"/>
          <w:szCs w:val="21"/>
        </w:rPr>
        <w:t>1</w:t>
      </w:r>
      <w:r>
        <w:rPr>
          <w:rFonts w:eastAsia="宋体" w:hAnsi="宋体" w:cs="Times New Roman" w:hint="eastAsia"/>
          <w:color w:val="000000" w:themeColor="text1"/>
        </w:rPr>
        <w:t>部分:总则</w:t>
      </w:r>
    </w:p>
    <w:p w:rsidR="00743677" w:rsidRDefault="0097000A">
      <w:pPr>
        <w:pStyle w:val="a"/>
        <w:tabs>
          <w:tab w:val="center" w:pos="4201"/>
          <w:tab w:val="right" w:leader="dot" w:pos="9298"/>
        </w:tabs>
        <w:spacing w:line="340" w:lineRule="exact"/>
        <w:ind w:firstLine="420"/>
        <w:rPr>
          <w:rFonts w:eastAsia="宋体" w:hAnsi="宋体" w:cs="Times New Roman"/>
          <w:color w:val="000000" w:themeColor="text1"/>
        </w:rPr>
      </w:pPr>
      <w:r>
        <w:rPr>
          <w:rFonts w:ascii="Times New Roman" w:eastAsia="宋体" w:hAnsi="Times New Roman" w:cs="Times New Roman" w:hint="eastAsia"/>
          <w:color w:val="000000" w:themeColor="text1"/>
          <w:kern w:val="0"/>
          <w:szCs w:val="21"/>
        </w:rPr>
        <w:t>GB 7251.8-2005</w:t>
      </w:r>
      <w:r>
        <w:rPr>
          <w:rFonts w:eastAsia="宋体" w:hAnsi="宋体" w:cs="Times New Roman" w:hint="eastAsia"/>
          <w:color w:val="000000" w:themeColor="text1"/>
        </w:rPr>
        <w:t>智能型成套设备通用技术要求</w:t>
      </w:r>
    </w:p>
    <w:p w:rsidR="00743677" w:rsidRDefault="0097000A">
      <w:pPr>
        <w:pStyle w:val="a"/>
        <w:tabs>
          <w:tab w:val="center" w:pos="4201"/>
          <w:tab w:val="right" w:leader="dot" w:pos="9298"/>
        </w:tabs>
        <w:spacing w:line="340" w:lineRule="exact"/>
        <w:ind w:firstLine="420"/>
        <w:rPr>
          <w:rFonts w:eastAsia="宋体" w:hAnsi="宋体" w:cs="Times New Roman"/>
          <w:color w:val="000000" w:themeColor="text1"/>
        </w:rPr>
      </w:pPr>
      <w:r>
        <w:rPr>
          <w:rFonts w:ascii="Times New Roman" w:eastAsia="宋体" w:hAnsi="Times New Roman" w:cs="Times New Roman" w:hint="eastAsia"/>
          <w:color w:val="000000" w:themeColor="text1"/>
          <w:kern w:val="0"/>
          <w:szCs w:val="21"/>
        </w:rPr>
        <w:t>GB/T 10233-2016</w:t>
      </w:r>
      <w:r>
        <w:rPr>
          <w:rFonts w:eastAsia="宋体" w:hAnsi="宋体" w:cs="Times New Roman" w:hint="eastAsia"/>
          <w:color w:val="000000" w:themeColor="text1"/>
        </w:rPr>
        <w:t>低压成套开关设备和电控设备基本试验方法</w:t>
      </w:r>
    </w:p>
    <w:p w:rsidR="00743677" w:rsidRDefault="0097000A">
      <w:pPr>
        <w:pStyle w:val="a"/>
        <w:tabs>
          <w:tab w:val="center" w:pos="4201"/>
          <w:tab w:val="right" w:leader="dot" w:pos="9298"/>
        </w:tabs>
        <w:spacing w:line="340" w:lineRule="exact"/>
        <w:ind w:firstLine="420"/>
        <w:rPr>
          <w:rFonts w:eastAsia="宋体" w:hAnsi="宋体" w:cs="Times New Roman"/>
          <w:color w:val="000000" w:themeColor="text1"/>
        </w:rPr>
      </w:pPr>
      <w:r>
        <w:rPr>
          <w:rFonts w:ascii="Times New Roman" w:eastAsia="宋体" w:hAnsi="Times New Roman" w:cs="Times New Roman" w:hint="eastAsia"/>
          <w:color w:val="000000" w:themeColor="text1"/>
          <w:kern w:val="0"/>
          <w:szCs w:val="21"/>
        </w:rPr>
        <w:t>GB 14048.1-2012</w:t>
      </w:r>
      <w:r>
        <w:rPr>
          <w:rFonts w:eastAsia="宋体" w:hAnsi="宋体" w:cs="Times New Roman" w:hint="eastAsia"/>
          <w:color w:val="000000" w:themeColor="text1"/>
        </w:rPr>
        <w:t>低压开关设备和控制设备第</w:t>
      </w:r>
      <w:r>
        <w:rPr>
          <w:rFonts w:ascii="Times New Roman" w:eastAsia="宋体" w:hAnsi="Times New Roman" w:cs="Times New Roman" w:hint="eastAsia"/>
          <w:color w:val="000000" w:themeColor="text1"/>
          <w:kern w:val="0"/>
          <w:szCs w:val="21"/>
        </w:rPr>
        <w:t>1</w:t>
      </w:r>
      <w:r>
        <w:rPr>
          <w:rFonts w:eastAsia="宋体" w:hAnsi="宋体" w:cs="Times New Roman" w:hint="eastAsia"/>
          <w:color w:val="000000" w:themeColor="text1"/>
        </w:rPr>
        <w:t>部分：总则</w:t>
      </w:r>
    </w:p>
    <w:p w:rsidR="00743677" w:rsidRDefault="0097000A">
      <w:pPr>
        <w:pStyle w:val="a"/>
        <w:tabs>
          <w:tab w:val="center" w:pos="4201"/>
          <w:tab w:val="right" w:leader="dot" w:pos="9298"/>
        </w:tabs>
        <w:spacing w:line="340" w:lineRule="exact"/>
        <w:ind w:firstLine="420"/>
        <w:rPr>
          <w:rFonts w:eastAsia="宋体" w:hAnsi="宋体" w:cs="Times New Roman"/>
          <w:color w:val="000000" w:themeColor="text1"/>
        </w:rPr>
      </w:pPr>
      <w:r>
        <w:rPr>
          <w:rFonts w:ascii="Times New Roman" w:eastAsia="宋体" w:hAnsi="Times New Roman" w:cs="Times New Roman" w:hint="eastAsia"/>
          <w:color w:val="000000" w:themeColor="text1"/>
          <w:kern w:val="0"/>
          <w:szCs w:val="21"/>
        </w:rPr>
        <w:t>GB 14048.2-2008</w:t>
      </w:r>
      <w:r>
        <w:rPr>
          <w:rFonts w:eastAsia="宋体" w:hAnsi="宋体" w:cs="Times New Roman" w:hint="eastAsia"/>
          <w:color w:val="000000" w:themeColor="text1"/>
        </w:rPr>
        <w:t>低压开关设备和控制设备第</w:t>
      </w:r>
      <w:r>
        <w:rPr>
          <w:rFonts w:ascii="Times New Roman" w:eastAsia="宋体" w:hAnsi="Times New Roman" w:cs="Times New Roman" w:hint="eastAsia"/>
          <w:color w:val="000000" w:themeColor="text1"/>
          <w:kern w:val="0"/>
          <w:szCs w:val="21"/>
        </w:rPr>
        <w:t>2</w:t>
      </w:r>
      <w:r>
        <w:rPr>
          <w:rFonts w:eastAsia="宋体" w:hAnsi="宋体" w:cs="Times New Roman" w:hint="eastAsia"/>
          <w:color w:val="000000" w:themeColor="text1"/>
        </w:rPr>
        <w:t>部分：断路器</w:t>
      </w:r>
    </w:p>
    <w:p w:rsidR="00743677" w:rsidRDefault="0097000A">
      <w:pPr>
        <w:pStyle w:val="a"/>
        <w:tabs>
          <w:tab w:val="center" w:pos="4201"/>
          <w:tab w:val="right" w:leader="dot" w:pos="9298"/>
        </w:tabs>
        <w:spacing w:line="340" w:lineRule="exact"/>
        <w:ind w:firstLine="420"/>
        <w:rPr>
          <w:rFonts w:eastAsia="宋体" w:hAnsi="宋体" w:cs="Times New Roman"/>
          <w:color w:val="000000" w:themeColor="text1"/>
        </w:rPr>
      </w:pPr>
      <w:r>
        <w:rPr>
          <w:rFonts w:ascii="Times New Roman" w:eastAsia="宋体" w:hAnsi="Times New Roman" w:cs="Times New Roman" w:hint="eastAsia"/>
          <w:color w:val="000000" w:themeColor="text1"/>
          <w:kern w:val="0"/>
          <w:szCs w:val="21"/>
        </w:rPr>
        <w:t>GB 14048.11-2016</w:t>
      </w:r>
      <w:r>
        <w:rPr>
          <w:rFonts w:eastAsia="宋体" w:hAnsi="宋体" w:cs="Times New Roman" w:hint="eastAsia"/>
          <w:color w:val="000000" w:themeColor="text1"/>
        </w:rPr>
        <w:t>低压开关设备和控制设备第</w:t>
      </w:r>
      <w:r>
        <w:rPr>
          <w:rFonts w:ascii="Times New Roman" w:eastAsia="宋体" w:hAnsi="Times New Roman" w:cs="Times New Roman" w:hint="eastAsia"/>
          <w:color w:val="000000" w:themeColor="text1"/>
          <w:kern w:val="0"/>
          <w:szCs w:val="21"/>
        </w:rPr>
        <w:t>6-1</w:t>
      </w:r>
      <w:r>
        <w:rPr>
          <w:rFonts w:eastAsia="宋体" w:hAnsi="宋体" w:cs="Times New Roman" w:hint="eastAsia"/>
          <w:color w:val="000000" w:themeColor="text1"/>
        </w:rPr>
        <w:t>部分：多功能电器转换开关电器</w:t>
      </w:r>
    </w:p>
    <w:p w:rsidR="00743677" w:rsidRDefault="0097000A">
      <w:pPr>
        <w:pStyle w:val="a"/>
        <w:tabs>
          <w:tab w:val="center" w:pos="4201"/>
          <w:tab w:val="right" w:leader="dot" w:pos="9298"/>
        </w:tabs>
        <w:spacing w:line="340" w:lineRule="exact"/>
        <w:ind w:firstLine="420"/>
        <w:rPr>
          <w:rFonts w:eastAsia="宋体" w:hAnsi="宋体" w:cs="Times New Roman"/>
          <w:color w:val="000000" w:themeColor="text1"/>
        </w:rPr>
      </w:pPr>
      <w:r>
        <w:rPr>
          <w:rFonts w:ascii="Times New Roman" w:eastAsia="宋体" w:hAnsi="Times New Roman" w:cs="Times New Roman" w:hint="eastAsia"/>
          <w:color w:val="000000" w:themeColor="text1"/>
          <w:kern w:val="0"/>
          <w:szCs w:val="21"/>
        </w:rPr>
        <w:t>GB/T 16935.1-2008</w:t>
      </w:r>
      <w:r>
        <w:rPr>
          <w:rFonts w:eastAsia="宋体" w:hAnsi="宋体" w:cs="Times New Roman" w:hint="eastAsia"/>
          <w:color w:val="000000" w:themeColor="text1"/>
        </w:rPr>
        <w:t>低压系统内设备的绝缘配合第一部分:原理、要求和试验</w:t>
      </w:r>
    </w:p>
    <w:p w:rsidR="00743677" w:rsidRDefault="0097000A">
      <w:pPr>
        <w:pStyle w:val="a"/>
        <w:tabs>
          <w:tab w:val="center" w:pos="4201"/>
          <w:tab w:val="right" w:leader="dot" w:pos="9298"/>
        </w:tabs>
        <w:spacing w:line="340" w:lineRule="exact"/>
        <w:ind w:firstLine="420"/>
        <w:rPr>
          <w:rFonts w:eastAsia="宋体" w:hAnsi="宋体" w:cs="Times New Roman"/>
          <w:color w:val="000000" w:themeColor="text1"/>
        </w:rPr>
      </w:pPr>
      <w:r>
        <w:rPr>
          <w:rFonts w:ascii="Times New Roman" w:eastAsia="宋体" w:hAnsi="Times New Roman" w:cs="Times New Roman" w:hint="eastAsia"/>
          <w:color w:val="000000" w:themeColor="text1"/>
          <w:kern w:val="0"/>
          <w:szCs w:val="21"/>
        </w:rPr>
        <w:t>GB/T 17626.2-2018</w:t>
      </w:r>
      <w:r>
        <w:rPr>
          <w:rFonts w:eastAsia="宋体" w:hAnsi="宋体" w:cs="Times New Roman" w:hint="eastAsia"/>
          <w:color w:val="000000" w:themeColor="text1"/>
        </w:rPr>
        <w:t>电磁兼容试验和测量技术抗扰度试验总论</w:t>
      </w:r>
    </w:p>
    <w:p w:rsidR="00743677" w:rsidRDefault="0097000A">
      <w:pPr>
        <w:pStyle w:val="a"/>
        <w:tabs>
          <w:tab w:val="center" w:pos="4201"/>
          <w:tab w:val="right" w:leader="dot" w:pos="9298"/>
        </w:tabs>
        <w:spacing w:line="340" w:lineRule="exact"/>
        <w:ind w:firstLine="420"/>
        <w:rPr>
          <w:rFonts w:eastAsia="宋体" w:hAnsi="宋体" w:cs="Times New Roman"/>
          <w:color w:val="000000" w:themeColor="text1"/>
        </w:rPr>
      </w:pPr>
      <w:r>
        <w:rPr>
          <w:rFonts w:ascii="Times New Roman" w:eastAsia="宋体" w:hAnsi="Times New Roman" w:cs="Times New Roman" w:hint="eastAsia"/>
          <w:color w:val="000000" w:themeColor="text1"/>
          <w:kern w:val="0"/>
          <w:szCs w:val="21"/>
        </w:rPr>
        <w:t>GB/T 17626.3-2016</w:t>
      </w:r>
      <w:r>
        <w:rPr>
          <w:rFonts w:eastAsia="宋体" w:hAnsi="宋体" w:cs="Times New Roman" w:hint="eastAsia"/>
          <w:color w:val="000000" w:themeColor="text1"/>
        </w:rPr>
        <w:t>电磁兼容试验和测量技术射频电磁场辐射抗扰度试验</w:t>
      </w:r>
    </w:p>
    <w:p w:rsidR="00743677" w:rsidRDefault="0097000A">
      <w:pPr>
        <w:pStyle w:val="a"/>
        <w:tabs>
          <w:tab w:val="center" w:pos="4201"/>
          <w:tab w:val="right" w:leader="dot" w:pos="9298"/>
        </w:tabs>
        <w:spacing w:line="340" w:lineRule="exact"/>
        <w:ind w:firstLine="420"/>
        <w:rPr>
          <w:rFonts w:eastAsia="宋体" w:hAnsi="宋体" w:cs="Times New Roman"/>
          <w:color w:val="000000" w:themeColor="text1"/>
        </w:rPr>
      </w:pPr>
      <w:r>
        <w:rPr>
          <w:rFonts w:ascii="Times New Roman" w:eastAsia="宋体" w:hAnsi="Times New Roman" w:cs="Times New Roman" w:hint="eastAsia"/>
          <w:color w:val="000000" w:themeColor="text1"/>
          <w:kern w:val="0"/>
          <w:szCs w:val="21"/>
        </w:rPr>
        <w:t>GB/T 17626.4-2018</w:t>
      </w:r>
      <w:r>
        <w:rPr>
          <w:rFonts w:eastAsia="宋体" w:hAnsi="宋体" w:cs="Times New Roman" w:hint="eastAsia"/>
          <w:color w:val="000000" w:themeColor="text1"/>
        </w:rPr>
        <w:t>电磁兼容试验和测量</w:t>
      </w:r>
      <w:proofErr w:type="gramStart"/>
      <w:r>
        <w:rPr>
          <w:rFonts w:eastAsia="宋体" w:hAnsi="宋体" w:cs="Times New Roman" w:hint="eastAsia"/>
          <w:color w:val="000000" w:themeColor="text1"/>
        </w:rPr>
        <w:t>技术电</w:t>
      </w:r>
      <w:proofErr w:type="gramEnd"/>
      <w:r>
        <w:rPr>
          <w:rFonts w:eastAsia="宋体" w:hAnsi="宋体" w:cs="Times New Roman" w:hint="eastAsia"/>
          <w:color w:val="000000" w:themeColor="text1"/>
        </w:rPr>
        <w:t>快速瞬变脉冲群抗扰度试验</w:t>
      </w:r>
    </w:p>
    <w:p w:rsidR="00743677" w:rsidRDefault="0097000A">
      <w:pPr>
        <w:pStyle w:val="a"/>
        <w:tabs>
          <w:tab w:val="center" w:pos="4201"/>
          <w:tab w:val="right" w:leader="dot" w:pos="9298"/>
        </w:tabs>
        <w:spacing w:line="340" w:lineRule="exact"/>
        <w:ind w:firstLine="420"/>
        <w:rPr>
          <w:rFonts w:eastAsia="宋体" w:hAnsi="宋体" w:cs="Times New Roman"/>
          <w:color w:val="000000" w:themeColor="text1"/>
        </w:rPr>
      </w:pPr>
      <w:r>
        <w:rPr>
          <w:rFonts w:ascii="Times New Roman" w:eastAsia="宋体" w:hAnsi="Times New Roman" w:cs="Times New Roman" w:hint="eastAsia"/>
          <w:color w:val="000000" w:themeColor="text1"/>
          <w:kern w:val="0"/>
          <w:szCs w:val="21"/>
        </w:rPr>
        <w:t>GB/T 17626.5-2008</w:t>
      </w:r>
      <w:r>
        <w:rPr>
          <w:rFonts w:eastAsia="宋体" w:hAnsi="宋体" w:cs="Times New Roman" w:hint="eastAsia"/>
          <w:color w:val="000000" w:themeColor="text1"/>
        </w:rPr>
        <w:t>电磁兼容试验和测量技术浪涌(冲击)抗扰度试验</w:t>
      </w:r>
    </w:p>
    <w:p w:rsidR="00743677" w:rsidRPr="00002ABF" w:rsidRDefault="0097000A" w:rsidP="00002ABF">
      <w:pPr>
        <w:pStyle w:val="a"/>
        <w:tabs>
          <w:tab w:val="center" w:pos="4201"/>
          <w:tab w:val="right" w:leader="dot" w:pos="9298"/>
        </w:tabs>
        <w:spacing w:line="340" w:lineRule="exact"/>
        <w:ind w:firstLine="420"/>
        <w:rPr>
          <w:rFonts w:ascii="Times New Roman" w:eastAsia="宋体" w:hAnsi="Times New Roman" w:cs="Times New Roman" w:hint="eastAsia"/>
          <w:color w:val="000000" w:themeColor="text1"/>
          <w:kern w:val="0"/>
          <w:szCs w:val="21"/>
        </w:rPr>
      </w:pPr>
      <w:r>
        <w:rPr>
          <w:rFonts w:ascii="Times New Roman" w:eastAsia="宋体" w:hAnsi="Times New Roman" w:cs="Times New Roman" w:hint="eastAsia"/>
          <w:color w:val="000000" w:themeColor="text1"/>
          <w:kern w:val="0"/>
          <w:szCs w:val="21"/>
        </w:rPr>
        <w:t>IEC 61000-4-11-</w:t>
      </w:r>
      <w:proofErr w:type="gramStart"/>
      <w:r>
        <w:rPr>
          <w:rFonts w:ascii="Times New Roman" w:eastAsia="宋体" w:hAnsi="Times New Roman" w:cs="Times New Roman" w:hint="eastAsia"/>
          <w:color w:val="000000" w:themeColor="text1"/>
          <w:kern w:val="0"/>
          <w:szCs w:val="21"/>
        </w:rPr>
        <w:t>2</w:t>
      </w:r>
      <w:r>
        <w:rPr>
          <w:rFonts w:ascii="Times New Roman" w:eastAsia="宋体" w:hAnsi="Times New Roman" w:cs="Times New Roman"/>
          <w:color w:val="000000" w:themeColor="text1"/>
          <w:kern w:val="0"/>
          <w:szCs w:val="21"/>
        </w:rPr>
        <w:t>017  Testing</w:t>
      </w:r>
      <w:proofErr w:type="gramEnd"/>
      <w:r>
        <w:rPr>
          <w:rFonts w:ascii="Times New Roman" w:eastAsia="宋体" w:hAnsi="Times New Roman" w:cs="Times New Roman"/>
          <w:color w:val="000000" w:themeColor="text1"/>
          <w:kern w:val="0"/>
          <w:szCs w:val="21"/>
        </w:rPr>
        <w:t xml:space="preserve"> and measurement techniques</w:t>
      </w:r>
      <w:r>
        <w:rPr>
          <w:rFonts w:ascii="Times New Roman" w:eastAsia="宋体" w:hAnsi="Times New Roman" w:cs="Times New Roman" w:hint="eastAsia"/>
          <w:color w:val="000000" w:themeColor="text1"/>
          <w:kern w:val="0"/>
          <w:szCs w:val="21"/>
        </w:rPr>
        <w:t>-</w:t>
      </w:r>
      <w:r>
        <w:rPr>
          <w:rFonts w:ascii="Times New Roman" w:eastAsia="宋体" w:hAnsi="Times New Roman" w:cs="Times New Roman"/>
          <w:color w:val="000000" w:themeColor="text1"/>
          <w:kern w:val="0"/>
          <w:szCs w:val="21"/>
        </w:rPr>
        <w:t>Voltage dips, short interruptions and voltage variations immunity tests</w:t>
      </w:r>
    </w:p>
    <w:p w:rsidR="00743677" w:rsidRDefault="0097000A">
      <w:pPr>
        <w:pStyle w:val="1"/>
        <w:spacing w:before="312" w:after="312"/>
        <w:rPr>
          <w:szCs w:val="21"/>
        </w:rPr>
      </w:pPr>
      <w:bookmarkStart w:id="25" w:name="_Toc485734896"/>
      <w:bookmarkStart w:id="26" w:name="_Toc478133168"/>
      <w:bookmarkStart w:id="27" w:name="_Toc485733247"/>
      <w:bookmarkStart w:id="28" w:name="_Toc498449249"/>
      <w:bookmarkStart w:id="29" w:name="_Toc309992164"/>
      <w:bookmarkStart w:id="30" w:name="_Toc28496_WPSOffice_Level1"/>
      <w:r>
        <w:rPr>
          <w:szCs w:val="21"/>
        </w:rPr>
        <w:t xml:space="preserve">4 </w:t>
      </w:r>
      <w:r>
        <w:rPr>
          <w:szCs w:val="21"/>
        </w:rPr>
        <w:t>主要工作过程</w:t>
      </w:r>
      <w:bookmarkEnd w:id="25"/>
      <w:bookmarkEnd w:id="26"/>
      <w:bookmarkEnd w:id="27"/>
      <w:bookmarkEnd w:id="28"/>
      <w:bookmarkEnd w:id="29"/>
      <w:bookmarkEnd w:id="30"/>
    </w:p>
    <w:p w:rsidR="006215B3" w:rsidRPr="006215B3" w:rsidRDefault="006215B3" w:rsidP="006215B3">
      <w:pPr>
        <w:ind w:firstLine="420"/>
        <w:rPr>
          <w:rFonts w:ascii="Times New Roman"/>
        </w:rPr>
      </w:pPr>
      <w:r>
        <w:rPr>
          <w:rFonts w:ascii="Times New Roman" w:hint="eastAsia"/>
        </w:rPr>
        <w:t>1</w:t>
      </w:r>
      <w:r>
        <w:rPr>
          <w:rFonts w:ascii="Times New Roman" w:hint="eastAsia"/>
        </w:rPr>
        <w:t>、</w:t>
      </w:r>
      <w:r w:rsidRPr="006215B3">
        <w:rPr>
          <w:rFonts w:ascii="Times New Roman" w:hint="eastAsia"/>
        </w:rPr>
        <w:t>1</w:t>
      </w:r>
      <w:r w:rsidRPr="006215B3">
        <w:rPr>
          <w:rFonts w:ascii="Times New Roman" w:hint="eastAsia"/>
        </w:rPr>
        <w:t>月</w:t>
      </w:r>
      <w:r w:rsidRPr="006215B3">
        <w:rPr>
          <w:rFonts w:ascii="Times New Roman" w:hint="eastAsia"/>
        </w:rPr>
        <w:t>10</w:t>
      </w:r>
      <w:r w:rsidR="008816F0">
        <w:rPr>
          <w:rFonts w:ascii="Times New Roman" w:hint="eastAsia"/>
        </w:rPr>
        <w:t>日</w:t>
      </w:r>
      <w:r w:rsidRPr="006215B3">
        <w:rPr>
          <w:rFonts w:ascii="Times New Roman" w:hint="eastAsia"/>
        </w:rPr>
        <w:t>完成《项目任务书》呈报，《技术服务协议》签署。</w:t>
      </w:r>
    </w:p>
    <w:p w:rsidR="006215B3" w:rsidRPr="006215B3" w:rsidRDefault="006215B3" w:rsidP="006215B3">
      <w:pPr>
        <w:ind w:firstLineChars="200" w:firstLine="420"/>
        <w:rPr>
          <w:rFonts w:ascii="Times New Roman"/>
        </w:rPr>
      </w:pPr>
      <w:r>
        <w:rPr>
          <w:rFonts w:ascii="Times New Roman" w:hint="eastAsia"/>
        </w:rPr>
        <w:t>2</w:t>
      </w:r>
      <w:r>
        <w:rPr>
          <w:rFonts w:ascii="Times New Roman" w:hint="eastAsia"/>
        </w:rPr>
        <w:t>、</w:t>
      </w:r>
      <w:r w:rsidR="008816F0">
        <w:rPr>
          <w:rFonts w:ascii="Times New Roman" w:hint="eastAsia"/>
        </w:rPr>
        <w:t>1</w:t>
      </w:r>
      <w:r w:rsidR="00195D92" w:rsidRPr="006215B3">
        <w:rPr>
          <w:rFonts w:ascii="Times New Roman" w:hint="eastAsia"/>
        </w:rPr>
        <w:t xml:space="preserve"> </w:t>
      </w:r>
      <w:r w:rsidR="00195D92">
        <w:rPr>
          <w:rFonts w:ascii="Times New Roman" w:hint="eastAsia"/>
        </w:rPr>
        <w:t xml:space="preserve">- </w:t>
      </w:r>
      <w:r w:rsidR="008816F0">
        <w:rPr>
          <w:rFonts w:ascii="Times New Roman" w:hint="eastAsia"/>
        </w:rPr>
        <w:t>3</w:t>
      </w:r>
      <w:r w:rsidRPr="006215B3">
        <w:rPr>
          <w:rFonts w:ascii="Times New Roman" w:hint="eastAsia"/>
        </w:rPr>
        <w:t>月，广泛征集其他单位意见，完成调研。</w:t>
      </w:r>
    </w:p>
    <w:p w:rsidR="006215B3" w:rsidRPr="006215B3" w:rsidRDefault="006215B3" w:rsidP="006215B3">
      <w:pPr>
        <w:ind w:firstLine="420"/>
        <w:rPr>
          <w:rFonts w:ascii="Times New Roman"/>
        </w:rPr>
      </w:pPr>
      <w:r>
        <w:rPr>
          <w:rFonts w:ascii="Times New Roman" w:hint="eastAsia"/>
        </w:rPr>
        <w:t>3</w:t>
      </w:r>
      <w:r>
        <w:rPr>
          <w:rFonts w:ascii="Times New Roman" w:hint="eastAsia"/>
        </w:rPr>
        <w:t>、</w:t>
      </w:r>
      <w:r w:rsidRPr="006215B3">
        <w:rPr>
          <w:rFonts w:ascii="Times New Roman" w:hint="eastAsia"/>
        </w:rPr>
        <w:t>3</w:t>
      </w:r>
      <w:r w:rsidRPr="006215B3">
        <w:rPr>
          <w:rFonts w:ascii="Times New Roman" w:hint="eastAsia"/>
        </w:rPr>
        <w:t>月</w:t>
      </w:r>
      <w:r w:rsidR="008816F0">
        <w:rPr>
          <w:rFonts w:ascii="Times New Roman" w:hint="eastAsia"/>
        </w:rPr>
        <w:t>21-</w:t>
      </w:r>
      <w:r w:rsidRPr="006215B3">
        <w:rPr>
          <w:rFonts w:ascii="Times New Roman" w:hint="eastAsia"/>
        </w:rPr>
        <w:t>22</w:t>
      </w:r>
      <w:r w:rsidR="008816F0">
        <w:rPr>
          <w:rFonts w:ascii="Times New Roman" w:hint="eastAsia"/>
        </w:rPr>
        <w:t>日</w:t>
      </w:r>
      <w:r w:rsidRPr="006215B3">
        <w:rPr>
          <w:rFonts w:ascii="Times New Roman" w:hint="eastAsia"/>
        </w:rPr>
        <w:t>召开起草工作组首次会议，明确起草工作组主编人、成员分工、工作</w:t>
      </w:r>
      <w:r w:rsidRPr="006215B3">
        <w:rPr>
          <w:rFonts w:ascii="Times New Roman" w:hint="eastAsia"/>
        </w:rPr>
        <w:lastRenderedPageBreak/>
        <w:t>进度等事项。</w:t>
      </w:r>
    </w:p>
    <w:p w:rsidR="006215B3" w:rsidRPr="006215B3" w:rsidRDefault="006215B3" w:rsidP="006215B3">
      <w:pPr>
        <w:ind w:firstLineChars="200" w:firstLine="420"/>
        <w:rPr>
          <w:rFonts w:ascii="Times New Roman"/>
        </w:rPr>
      </w:pPr>
      <w:r>
        <w:rPr>
          <w:rFonts w:ascii="Times New Roman" w:hint="eastAsia"/>
        </w:rPr>
        <w:t>4</w:t>
      </w:r>
      <w:r>
        <w:rPr>
          <w:rFonts w:ascii="Times New Roman" w:hint="eastAsia"/>
        </w:rPr>
        <w:t>、</w:t>
      </w:r>
      <w:r w:rsidRPr="006215B3">
        <w:rPr>
          <w:rFonts w:ascii="Times New Roman" w:hint="eastAsia"/>
        </w:rPr>
        <w:t>3</w:t>
      </w:r>
      <w:r w:rsidRPr="006215B3">
        <w:rPr>
          <w:rFonts w:ascii="Times New Roman" w:hint="eastAsia"/>
        </w:rPr>
        <w:t>月</w:t>
      </w:r>
      <w:r w:rsidRPr="006215B3">
        <w:rPr>
          <w:rFonts w:ascii="Times New Roman" w:hint="eastAsia"/>
        </w:rPr>
        <w:t>30</w:t>
      </w:r>
      <w:r w:rsidR="008816F0">
        <w:rPr>
          <w:rFonts w:ascii="Times New Roman" w:hint="eastAsia"/>
        </w:rPr>
        <w:t>日</w:t>
      </w:r>
      <w:r w:rsidRPr="006215B3">
        <w:rPr>
          <w:rFonts w:ascii="Times New Roman" w:hint="eastAsia"/>
        </w:rPr>
        <w:t>完成标准《草案稿》和《编制说明》的编写。</w:t>
      </w:r>
    </w:p>
    <w:p w:rsidR="006215B3" w:rsidRPr="006215B3" w:rsidRDefault="006215B3" w:rsidP="006215B3">
      <w:pPr>
        <w:ind w:firstLine="420"/>
        <w:rPr>
          <w:rFonts w:ascii="Times New Roman"/>
        </w:rPr>
      </w:pPr>
      <w:r>
        <w:rPr>
          <w:rFonts w:ascii="Times New Roman" w:hint="eastAsia"/>
        </w:rPr>
        <w:t>5</w:t>
      </w:r>
      <w:r>
        <w:rPr>
          <w:rFonts w:ascii="Times New Roman" w:hint="eastAsia"/>
        </w:rPr>
        <w:t>、</w:t>
      </w:r>
      <w:r w:rsidRPr="006215B3">
        <w:rPr>
          <w:rFonts w:ascii="Times New Roman" w:hint="eastAsia"/>
        </w:rPr>
        <w:t>4</w:t>
      </w:r>
      <w:r w:rsidRPr="006215B3">
        <w:rPr>
          <w:rFonts w:ascii="Times New Roman" w:hint="eastAsia"/>
        </w:rPr>
        <w:t>月</w:t>
      </w:r>
      <w:r w:rsidR="008816F0">
        <w:rPr>
          <w:rFonts w:ascii="Times New Roman" w:hint="eastAsia"/>
        </w:rPr>
        <w:t>10</w:t>
      </w:r>
      <w:r w:rsidR="008816F0">
        <w:rPr>
          <w:rFonts w:ascii="Times New Roman" w:hint="eastAsia"/>
        </w:rPr>
        <w:t>日</w:t>
      </w:r>
      <w:r w:rsidRPr="006215B3">
        <w:rPr>
          <w:rFonts w:ascii="Times New Roman" w:hint="eastAsia"/>
        </w:rPr>
        <w:t>召开起草工作组第二次会议，讨论标准《草案稿》，形成标准《征求意见稿》。</w:t>
      </w:r>
    </w:p>
    <w:p w:rsidR="006215B3" w:rsidRPr="006215B3" w:rsidRDefault="006215B3" w:rsidP="006215B3">
      <w:pPr>
        <w:ind w:firstLineChars="200" w:firstLine="420"/>
        <w:rPr>
          <w:rFonts w:ascii="Times New Roman"/>
        </w:rPr>
      </w:pPr>
      <w:r>
        <w:rPr>
          <w:rFonts w:ascii="Times New Roman" w:hint="eastAsia"/>
        </w:rPr>
        <w:t>6</w:t>
      </w:r>
      <w:r>
        <w:rPr>
          <w:rFonts w:ascii="Times New Roman" w:hint="eastAsia"/>
        </w:rPr>
        <w:t>、</w:t>
      </w:r>
      <w:r w:rsidRPr="006215B3">
        <w:rPr>
          <w:rFonts w:ascii="Times New Roman" w:hint="eastAsia"/>
        </w:rPr>
        <w:t>4</w:t>
      </w:r>
      <w:r w:rsidRPr="006215B3">
        <w:rPr>
          <w:rFonts w:ascii="Times New Roman" w:hint="eastAsia"/>
        </w:rPr>
        <w:t>月</w:t>
      </w:r>
      <w:r w:rsidR="008816F0">
        <w:rPr>
          <w:rFonts w:ascii="Times New Roman" w:hint="eastAsia"/>
        </w:rPr>
        <w:t>15</w:t>
      </w:r>
      <w:r w:rsidR="008816F0">
        <w:rPr>
          <w:rFonts w:ascii="Times New Roman" w:hint="eastAsia"/>
        </w:rPr>
        <w:t>日《征求意见稿》和《</w:t>
      </w:r>
      <w:r w:rsidR="008816F0" w:rsidRPr="006215B3">
        <w:rPr>
          <w:rFonts w:ascii="Times New Roman" w:hint="eastAsia"/>
        </w:rPr>
        <w:t>编制说明</w:t>
      </w:r>
      <w:r w:rsidR="008816F0">
        <w:rPr>
          <w:rFonts w:ascii="Times New Roman" w:hint="eastAsia"/>
        </w:rPr>
        <w:t>》</w:t>
      </w:r>
      <w:r w:rsidRPr="006215B3">
        <w:rPr>
          <w:rFonts w:ascii="Times New Roman" w:hint="eastAsia"/>
        </w:rPr>
        <w:t>发给直流配电网专业分会。</w:t>
      </w:r>
    </w:p>
    <w:p w:rsidR="00743677" w:rsidRDefault="0097000A">
      <w:pPr>
        <w:pStyle w:val="1"/>
        <w:spacing w:before="312" w:after="312"/>
      </w:pPr>
      <w:bookmarkStart w:id="31" w:name="_Toc485733248"/>
      <w:bookmarkStart w:id="32" w:name="_Toc309992165"/>
      <w:bookmarkStart w:id="33" w:name="_Toc485734897"/>
      <w:bookmarkStart w:id="34" w:name="_Toc478133169"/>
      <w:bookmarkStart w:id="35" w:name="_Toc498449250"/>
      <w:bookmarkStart w:id="36" w:name="_Toc8491_WPSOffice_Level1"/>
      <w:r>
        <w:rPr>
          <w:szCs w:val="21"/>
        </w:rPr>
        <w:t>5</w:t>
      </w:r>
      <w:r>
        <w:t>标准结构和内容</w:t>
      </w:r>
      <w:bookmarkEnd w:id="31"/>
      <w:bookmarkEnd w:id="32"/>
      <w:bookmarkEnd w:id="33"/>
      <w:bookmarkEnd w:id="34"/>
      <w:bookmarkEnd w:id="35"/>
      <w:bookmarkEnd w:id="36"/>
    </w:p>
    <w:p w:rsidR="00743677" w:rsidRDefault="0097000A">
      <w:pPr>
        <w:ind w:firstLine="420"/>
        <w:rPr>
          <w:rFonts w:ascii="Times New Roman"/>
        </w:rPr>
      </w:pPr>
      <w:r>
        <w:rPr>
          <w:rFonts w:ascii="Times New Roman"/>
        </w:rPr>
        <w:t>本标准共分</w:t>
      </w:r>
      <w:r>
        <w:rPr>
          <w:rFonts w:ascii="Times New Roman"/>
        </w:rPr>
        <w:t>7</w:t>
      </w:r>
      <w:r>
        <w:rPr>
          <w:rFonts w:ascii="Times New Roman"/>
        </w:rPr>
        <w:t>章</w:t>
      </w:r>
      <w:r w:rsidR="00195D92">
        <w:rPr>
          <w:rFonts w:ascii="Times New Roman" w:hint="eastAsia"/>
        </w:rPr>
        <w:t>。</w:t>
      </w:r>
    </w:p>
    <w:p w:rsidR="00743677" w:rsidRDefault="0097000A">
      <w:pPr>
        <w:pStyle w:val="a"/>
        <w:tabs>
          <w:tab w:val="center" w:pos="4201"/>
          <w:tab w:val="right" w:leader="dot" w:pos="9298"/>
        </w:tabs>
        <w:ind w:firstLine="420"/>
        <w:rPr>
          <w:rFonts w:ascii="Times New Roman"/>
        </w:rPr>
      </w:pPr>
      <w:r>
        <w:rPr>
          <w:rFonts w:ascii="Times New Roman"/>
        </w:rPr>
        <w:t>第</w:t>
      </w:r>
      <w:r>
        <w:rPr>
          <w:rFonts w:ascii="Times New Roman"/>
        </w:rPr>
        <w:t>1</w:t>
      </w:r>
      <w:r>
        <w:rPr>
          <w:rFonts w:ascii="Times New Roman"/>
        </w:rPr>
        <w:t>章</w:t>
      </w:r>
      <w:r>
        <w:rPr>
          <w:rFonts w:ascii="Times New Roman"/>
        </w:rPr>
        <w:t>“</w:t>
      </w:r>
      <w:r>
        <w:rPr>
          <w:rFonts w:ascii="Times New Roman"/>
        </w:rPr>
        <w:t>范围</w:t>
      </w:r>
      <w:r>
        <w:rPr>
          <w:rFonts w:ascii="Times New Roman"/>
        </w:rPr>
        <w:t>”</w:t>
      </w:r>
      <w:r>
        <w:rPr>
          <w:rFonts w:ascii="Times New Roman"/>
        </w:rPr>
        <w:t>，主要说明本标准的规定内容和适用范围。</w:t>
      </w:r>
    </w:p>
    <w:p w:rsidR="00743677" w:rsidRDefault="0097000A">
      <w:pPr>
        <w:pStyle w:val="a"/>
        <w:tabs>
          <w:tab w:val="center" w:pos="4201"/>
          <w:tab w:val="right" w:leader="dot" w:pos="9298"/>
        </w:tabs>
        <w:ind w:firstLine="420"/>
        <w:rPr>
          <w:rFonts w:ascii="Times New Roman"/>
        </w:rPr>
      </w:pPr>
      <w:r>
        <w:rPr>
          <w:rFonts w:ascii="Times New Roman"/>
        </w:rPr>
        <w:t>第</w:t>
      </w:r>
      <w:r>
        <w:rPr>
          <w:rFonts w:ascii="Times New Roman"/>
        </w:rPr>
        <w:t>2</w:t>
      </w:r>
      <w:r>
        <w:rPr>
          <w:rFonts w:ascii="Times New Roman"/>
        </w:rPr>
        <w:t>章</w:t>
      </w:r>
      <w:r>
        <w:rPr>
          <w:rFonts w:ascii="Times New Roman"/>
        </w:rPr>
        <w:t>“</w:t>
      </w:r>
      <w:r>
        <w:rPr>
          <w:rFonts w:ascii="Times New Roman"/>
        </w:rPr>
        <w:t>规范性引用文件</w:t>
      </w:r>
      <w:r>
        <w:rPr>
          <w:rFonts w:ascii="Times New Roman"/>
        </w:rPr>
        <w:t>”</w:t>
      </w:r>
      <w:r>
        <w:rPr>
          <w:rFonts w:ascii="Times New Roman"/>
        </w:rPr>
        <w:t>，列出了本标准所引用的标准、导则、规范、规程和有关文件。</w:t>
      </w:r>
    </w:p>
    <w:p w:rsidR="00743677" w:rsidRDefault="0097000A">
      <w:pPr>
        <w:pStyle w:val="a"/>
        <w:tabs>
          <w:tab w:val="center" w:pos="4201"/>
          <w:tab w:val="right" w:leader="dot" w:pos="9298"/>
        </w:tabs>
        <w:ind w:firstLine="420"/>
        <w:rPr>
          <w:rFonts w:ascii="Times New Roman"/>
        </w:rPr>
      </w:pPr>
      <w:r>
        <w:rPr>
          <w:rFonts w:ascii="Times New Roman"/>
        </w:rPr>
        <w:t>第</w:t>
      </w:r>
      <w:r>
        <w:rPr>
          <w:rFonts w:ascii="Times New Roman"/>
        </w:rPr>
        <w:t>3</w:t>
      </w:r>
      <w:r>
        <w:rPr>
          <w:rFonts w:ascii="Times New Roman"/>
        </w:rPr>
        <w:t>章</w:t>
      </w:r>
      <w:r>
        <w:rPr>
          <w:rFonts w:ascii="Times New Roman"/>
        </w:rPr>
        <w:t>“</w:t>
      </w:r>
      <w:r>
        <w:rPr>
          <w:rFonts w:ascii="Times New Roman"/>
        </w:rPr>
        <w:t>术语和定义</w:t>
      </w:r>
      <w:r>
        <w:rPr>
          <w:rFonts w:ascii="Times New Roman"/>
        </w:rPr>
        <w:t>”</w:t>
      </w:r>
      <w:r>
        <w:rPr>
          <w:rFonts w:ascii="Times New Roman"/>
        </w:rPr>
        <w:t>，主要明确了</w:t>
      </w:r>
      <w:r>
        <w:rPr>
          <w:rFonts w:eastAsia="宋体" w:hAnsi="宋体" w:cs="黑体" w:hint="eastAsia"/>
          <w:color w:val="000000" w:themeColor="text1"/>
          <w:kern w:val="0"/>
          <w:szCs w:val="21"/>
        </w:rPr>
        <w:t>工作电源</w:t>
      </w:r>
      <w:r>
        <w:rPr>
          <w:rFonts w:ascii="Times New Roman"/>
        </w:rPr>
        <w:t>、</w:t>
      </w:r>
      <w:r>
        <w:rPr>
          <w:rFonts w:eastAsia="宋体" w:hAnsi="宋体" w:cs="黑体" w:hint="eastAsia"/>
          <w:color w:val="000000" w:themeColor="text1"/>
          <w:kern w:val="0"/>
          <w:szCs w:val="21"/>
        </w:rPr>
        <w:t>低压真空快速断路器</w:t>
      </w:r>
      <w:r>
        <w:rPr>
          <w:rFonts w:ascii="Times New Roman"/>
        </w:rPr>
        <w:t>、</w:t>
      </w:r>
      <w:r>
        <w:rPr>
          <w:rFonts w:eastAsia="宋体" w:hAnsi="宋体" w:cs="黑体" w:hint="eastAsia"/>
          <w:color w:val="000000" w:themeColor="text1"/>
          <w:kern w:val="0"/>
          <w:szCs w:val="21"/>
        </w:rPr>
        <w:t>低压真空快速转换开关电器</w:t>
      </w:r>
      <w:r>
        <w:rPr>
          <w:rFonts w:ascii="Times New Roman"/>
        </w:rPr>
        <w:t>、</w:t>
      </w:r>
      <w:r>
        <w:rPr>
          <w:rFonts w:eastAsia="宋体" w:hAnsi="宋体" w:cs="黑体" w:hint="eastAsia"/>
          <w:color w:val="000000" w:themeColor="text1"/>
          <w:kern w:val="0"/>
          <w:szCs w:val="21"/>
        </w:rPr>
        <w:t>敏感设备</w:t>
      </w:r>
      <w:r>
        <w:rPr>
          <w:rFonts w:ascii="Times New Roman"/>
        </w:rPr>
        <w:t>、</w:t>
      </w:r>
      <w:r>
        <w:rPr>
          <w:rFonts w:eastAsia="宋体" w:hAnsi="宋体" w:cs="黑体" w:hint="eastAsia"/>
          <w:color w:val="000000" w:themeColor="text1"/>
          <w:kern w:val="0"/>
          <w:szCs w:val="21"/>
        </w:rPr>
        <w:t>重要敏感设备</w:t>
      </w:r>
      <w:r>
        <w:rPr>
          <w:rFonts w:ascii="Times New Roman"/>
        </w:rPr>
        <w:t>、</w:t>
      </w:r>
      <w:r>
        <w:rPr>
          <w:rFonts w:eastAsia="宋体" w:hAnsi="宋体" w:cs="黑体" w:hint="eastAsia"/>
          <w:color w:val="000000" w:themeColor="text1"/>
          <w:kern w:val="0"/>
          <w:szCs w:val="21"/>
        </w:rPr>
        <w:t>一般敏感设备</w:t>
      </w:r>
      <w:r>
        <w:rPr>
          <w:rFonts w:ascii="Times New Roman"/>
        </w:rPr>
        <w:t>等术语的定义。</w:t>
      </w:r>
    </w:p>
    <w:p w:rsidR="00743677" w:rsidRDefault="0097000A">
      <w:pPr>
        <w:pStyle w:val="a"/>
        <w:tabs>
          <w:tab w:val="center" w:pos="4201"/>
          <w:tab w:val="right" w:leader="dot" w:pos="9298"/>
        </w:tabs>
        <w:ind w:firstLine="420"/>
        <w:rPr>
          <w:rFonts w:ascii="Times New Roman"/>
        </w:rPr>
      </w:pPr>
      <w:r>
        <w:rPr>
          <w:rFonts w:ascii="Times New Roman"/>
        </w:rPr>
        <w:t>第</w:t>
      </w:r>
      <w:r>
        <w:rPr>
          <w:rFonts w:ascii="Times New Roman"/>
        </w:rPr>
        <w:t>4</w:t>
      </w:r>
      <w:r>
        <w:rPr>
          <w:rFonts w:ascii="Times New Roman"/>
        </w:rPr>
        <w:t>章</w:t>
      </w:r>
      <w:r>
        <w:rPr>
          <w:rFonts w:ascii="Times New Roman"/>
        </w:rPr>
        <w:t>“</w:t>
      </w:r>
      <w:r>
        <w:rPr>
          <w:rFonts w:eastAsia="宋体" w:hAnsi="宋体" w:cs="宋体" w:hint="eastAsia"/>
          <w:color w:val="000000" w:themeColor="text1"/>
          <w:kern w:val="0"/>
          <w:szCs w:val="21"/>
        </w:rPr>
        <w:t>分类和命名</w:t>
      </w:r>
      <w:r>
        <w:rPr>
          <w:rFonts w:ascii="Times New Roman"/>
        </w:rPr>
        <w:t>”</w:t>
      </w:r>
      <w:r>
        <w:rPr>
          <w:rFonts w:ascii="Times New Roman"/>
        </w:rPr>
        <w:t>，主要明确了</w:t>
      </w:r>
      <w:r>
        <w:rPr>
          <w:rFonts w:eastAsia="宋体" w:hAnsi="宋体" w:cs="黑体" w:hint="eastAsia"/>
          <w:color w:val="000000" w:themeColor="text1"/>
          <w:kern w:val="0"/>
          <w:szCs w:val="21"/>
        </w:rPr>
        <w:t>低压真空快速转换开关电器型号编制方法，并举例说明了型号名中各字母所代表的含义</w:t>
      </w:r>
      <w:r>
        <w:rPr>
          <w:rFonts w:ascii="Times New Roman"/>
        </w:rPr>
        <w:t>。</w:t>
      </w:r>
    </w:p>
    <w:p w:rsidR="00743677" w:rsidRDefault="0097000A">
      <w:pPr>
        <w:pStyle w:val="a"/>
        <w:tabs>
          <w:tab w:val="center" w:pos="4201"/>
          <w:tab w:val="right" w:leader="dot" w:pos="9298"/>
        </w:tabs>
        <w:ind w:firstLine="420"/>
        <w:rPr>
          <w:rFonts w:ascii="Times New Roman"/>
        </w:rPr>
      </w:pPr>
      <w:r>
        <w:rPr>
          <w:rFonts w:ascii="Times New Roman"/>
        </w:rPr>
        <w:t>第</w:t>
      </w:r>
      <w:r>
        <w:rPr>
          <w:rFonts w:ascii="Times New Roman"/>
        </w:rPr>
        <w:t>5</w:t>
      </w:r>
      <w:r>
        <w:rPr>
          <w:rFonts w:ascii="Times New Roman"/>
        </w:rPr>
        <w:t>章</w:t>
      </w:r>
      <w:r>
        <w:rPr>
          <w:rFonts w:ascii="Times New Roman"/>
        </w:rPr>
        <w:t>“</w:t>
      </w:r>
      <w:r>
        <w:rPr>
          <w:rFonts w:eastAsia="宋体" w:hAnsi="宋体" w:cs="Times New Roman" w:hint="eastAsia"/>
          <w:color w:val="000000" w:themeColor="text1"/>
          <w:kern w:val="0"/>
          <w:szCs w:val="21"/>
        </w:rPr>
        <w:t>要求</w:t>
      </w:r>
      <w:r>
        <w:rPr>
          <w:rFonts w:ascii="Times New Roman"/>
        </w:rPr>
        <w:t>”</w:t>
      </w:r>
      <w:r>
        <w:rPr>
          <w:rFonts w:ascii="Times New Roman"/>
        </w:rPr>
        <w:t>，主要明确了</w:t>
      </w:r>
      <w:r>
        <w:rPr>
          <w:rFonts w:ascii="Times New Roman" w:hint="eastAsia"/>
        </w:rPr>
        <w:t>该装置的运行条件，装置参数，主要元件技术参数以及技术功能要求</w:t>
      </w:r>
      <w:r>
        <w:rPr>
          <w:rFonts w:ascii="Times New Roman"/>
        </w:rPr>
        <w:t>。</w:t>
      </w:r>
    </w:p>
    <w:p w:rsidR="00743677" w:rsidRDefault="0097000A">
      <w:pPr>
        <w:pStyle w:val="a"/>
        <w:tabs>
          <w:tab w:val="center" w:pos="4201"/>
          <w:tab w:val="right" w:leader="dot" w:pos="9298"/>
        </w:tabs>
        <w:ind w:firstLine="420"/>
        <w:rPr>
          <w:rFonts w:ascii="Times New Roman"/>
        </w:rPr>
      </w:pPr>
      <w:r>
        <w:rPr>
          <w:rFonts w:ascii="Times New Roman"/>
        </w:rPr>
        <w:t>第</w:t>
      </w:r>
      <w:r>
        <w:rPr>
          <w:rFonts w:ascii="Times New Roman"/>
        </w:rPr>
        <w:t>6</w:t>
      </w:r>
      <w:r>
        <w:rPr>
          <w:rFonts w:ascii="Times New Roman"/>
        </w:rPr>
        <w:t>章</w:t>
      </w:r>
      <w:r>
        <w:rPr>
          <w:rFonts w:ascii="Times New Roman"/>
        </w:rPr>
        <w:t>“</w:t>
      </w:r>
      <w:r>
        <w:rPr>
          <w:rFonts w:eastAsia="宋体" w:hAnsi="宋体" w:cs="Times New Roman" w:hint="eastAsia"/>
          <w:color w:val="000000" w:themeColor="text1"/>
          <w:kern w:val="0"/>
          <w:szCs w:val="21"/>
        </w:rPr>
        <w:t>试验方法</w:t>
      </w:r>
      <w:r>
        <w:rPr>
          <w:rFonts w:ascii="Times New Roman"/>
        </w:rPr>
        <w:t>”</w:t>
      </w:r>
      <w:r>
        <w:rPr>
          <w:rFonts w:ascii="Times New Roman"/>
        </w:rPr>
        <w:t>，主要明确了</w:t>
      </w:r>
      <w:r>
        <w:rPr>
          <w:rFonts w:ascii="Times New Roman" w:hint="eastAsia"/>
        </w:rPr>
        <w:t>出厂检验要求，列出了其现场检验的项目以及合格条件，最后对其型式试验</w:t>
      </w:r>
      <w:proofErr w:type="gramStart"/>
      <w:r>
        <w:rPr>
          <w:rFonts w:ascii="Times New Roman" w:hint="eastAsia"/>
        </w:rPr>
        <w:t>作出</w:t>
      </w:r>
      <w:proofErr w:type="gramEnd"/>
      <w:r>
        <w:rPr>
          <w:rFonts w:ascii="Times New Roman" w:hint="eastAsia"/>
        </w:rPr>
        <w:t>了具体明确的要求</w:t>
      </w:r>
      <w:r>
        <w:rPr>
          <w:rFonts w:ascii="Times New Roman"/>
        </w:rPr>
        <w:t>。</w:t>
      </w:r>
    </w:p>
    <w:p w:rsidR="00743677" w:rsidRDefault="0097000A">
      <w:pPr>
        <w:ind w:firstLine="420"/>
        <w:rPr>
          <w:rFonts w:ascii="Times New Roman"/>
        </w:rPr>
      </w:pPr>
      <w:r>
        <w:rPr>
          <w:rFonts w:ascii="Times New Roman"/>
        </w:rPr>
        <w:t>第</w:t>
      </w:r>
      <w:r>
        <w:rPr>
          <w:rFonts w:ascii="Times New Roman"/>
        </w:rPr>
        <w:t>7</w:t>
      </w:r>
      <w:r>
        <w:rPr>
          <w:rFonts w:ascii="Times New Roman"/>
        </w:rPr>
        <w:t>章</w:t>
      </w:r>
      <w:r>
        <w:rPr>
          <w:rFonts w:ascii="Times New Roman"/>
        </w:rPr>
        <w:t>“</w:t>
      </w:r>
      <w:r>
        <w:rPr>
          <w:rFonts w:ascii="宋体" w:eastAsia="宋体" w:hAnsi="宋体" w:cs="Times New Roman" w:hint="eastAsia"/>
          <w:color w:val="000000" w:themeColor="text1"/>
          <w:kern w:val="0"/>
          <w:szCs w:val="21"/>
        </w:rPr>
        <w:t>标志、包装、运输及储存</w:t>
      </w:r>
      <w:r>
        <w:rPr>
          <w:rFonts w:ascii="Times New Roman"/>
        </w:rPr>
        <w:t>”</w:t>
      </w:r>
      <w:r>
        <w:rPr>
          <w:rFonts w:ascii="Times New Roman"/>
        </w:rPr>
        <w:t>，主要规范了</w:t>
      </w:r>
      <w:r>
        <w:rPr>
          <w:rFonts w:ascii="Times New Roman" w:hint="eastAsia"/>
        </w:rPr>
        <w:t>产品</w:t>
      </w:r>
      <w:r>
        <w:rPr>
          <w:rFonts w:ascii="宋体" w:eastAsia="宋体" w:hAnsi="宋体" w:cs="Times New Roman" w:hint="eastAsia"/>
          <w:color w:val="000000" w:themeColor="text1"/>
          <w:kern w:val="0"/>
          <w:szCs w:val="21"/>
        </w:rPr>
        <w:t>标志</w:t>
      </w:r>
      <w:r>
        <w:rPr>
          <w:rFonts w:ascii="Times New Roman"/>
        </w:rPr>
        <w:t>、</w:t>
      </w:r>
      <w:r>
        <w:rPr>
          <w:rFonts w:ascii="Times New Roman" w:hint="eastAsia"/>
        </w:rPr>
        <w:t>产品包装</w:t>
      </w:r>
      <w:r>
        <w:rPr>
          <w:rFonts w:ascii="Times New Roman"/>
        </w:rPr>
        <w:t>、</w:t>
      </w:r>
      <w:r>
        <w:rPr>
          <w:rFonts w:ascii="Times New Roman" w:hint="eastAsia"/>
        </w:rPr>
        <w:t>产品的运输和存储</w:t>
      </w:r>
      <w:r>
        <w:rPr>
          <w:rFonts w:ascii="Times New Roman"/>
        </w:rPr>
        <w:t>等建设内容及服务内容</w:t>
      </w:r>
      <w:r>
        <w:rPr>
          <w:rFonts w:ascii="Times New Roman" w:hint="eastAsia"/>
        </w:rPr>
        <w:t>，并对其具体方法</w:t>
      </w:r>
      <w:proofErr w:type="gramStart"/>
      <w:r>
        <w:rPr>
          <w:rFonts w:ascii="Times New Roman" w:hint="eastAsia"/>
        </w:rPr>
        <w:t>作出</w:t>
      </w:r>
      <w:proofErr w:type="gramEnd"/>
      <w:r>
        <w:rPr>
          <w:rFonts w:ascii="Times New Roman" w:hint="eastAsia"/>
        </w:rPr>
        <w:t>了详尽的介绍</w:t>
      </w:r>
      <w:r>
        <w:rPr>
          <w:rFonts w:ascii="Times New Roman"/>
        </w:rPr>
        <w:t>。</w:t>
      </w:r>
    </w:p>
    <w:p w:rsidR="00743677" w:rsidRDefault="0097000A" w:rsidP="00002ABF">
      <w:pPr>
        <w:ind w:firstLine="420"/>
        <w:rPr>
          <w:rFonts w:ascii="Times New Roman" w:hint="eastAsia"/>
        </w:rPr>
      </w:pPr>
      <w:r>
        <w:rPr>
          <w:rFonts w:ascii="Times New Roman" w:hint="eastAsia"/>
        </w:rPr>
        <w:t>最后还在附件里对快切控制器里对转换方式作出了一些具体的描述。</w:t>
      </w:r>
      <w:bookmarkStart w:id="37" w:name="_GoBack"/>
      <w:bookmarkEnd w:id="37"/>
    </w:p>
    <w:p w:rsidR="00743677" w:rsidRDefault="0097000A">
      <w:pPr>
        <w:pStyle w:val="1"/>
        <w:spacing w:before="312" w:after="312"/>
      </w:pPr>
      <w:bookmarkStart w:id="38" w:name="_Toc309992166"/>
      <w:bookmarkStart w:id="39" w:name="_Toc485734898"/>
      <w:bookmarkStart w:id="40" w:name="_Toc498449251"/>
      <w:bookmarkStart w:id="41" w:name="_Toc478133170"/>
      <w:bookmarkStart w:id="42" w:name="_Toc485733249"/>
      <w:bookmarkStart w:id="43" w:name="_Toc15947_WPSOffice_Level1"/>
      <w:r>
        <w:rPr>
          <w:szCs w:val="21"/>
        </w:rPr>
        <w:t>6</w:t>
      </w:r>
      <w:r>
        <w:rPr>
          <w:rFonts w:hint="eastAsia"/>
        </w:rPr>
        <w:t>标准</w:t>
      </w:r>
      <w:r>
        <w:t>说明</w:t>
      </w:r>
      <w:bookmarkEnd w:id="38"/>
      <w:bookmarkEnd w:id="39"/>
      <w:bookmarkEnd w:id="40"/>
      <w:bookmarkEnd w:id="41"/>
      <w:bookmarkEnd w:id="42"/>
      <w:bookmarkEnd w:id="43"/>
    </w:p>
    <w:p w:rsidR="00743677" w:rsidRDefault="0097000A">
      <w:pPr>
        <w:ind w:firstLine="420"/>
        <w:rPr>
          <w:rFonts w:ascii="Times New Roman"/>
        </w:rPr>
      </w:pPr>
      <w:r>
        <w:rPr>
          <w:rFonts w:ascii="Times New Roman" w:hint="eastAsia"/>
        </w:rPr>
        <w:t>本标准的制定，充分反映了国内外行业的水平。</w:t>
      </w:r>
    </w:p>
    <w:p w:rsidR="00743677" w:rsidRDefault="0097000A">
      <w:pPr>
        <w:ind w:firstLine="420"/>
        <w:rPr>
          <w:rFonts w:ascii="Times New Roman"/>
        </w:rPr>
      </w:pPr>
      <w:r>
        <w:rPr>
          <w:rFonts w:ascii="Times New Roman" w:hint="eastAsia"/>
        </w:rPr>
        <w:t>本标准与相关法律、法规、规章及相关标准协调一致，没有冲突。</w:t>
      </w:r>
    </w:p>
    <w:p w:rsidR="00743677" w:rsidRDefault="0097000A">
      <w:pPr>
        <w:ind w:firstLineChars="200" w:firstLine="420"/>
        <w:rPr>
          <w:rFonts w:ascii="宋体" w:eastAsia="宋体" w:hAnsi="宋体" w:cs="Times New Roman"/>
          <w:color w:val="000000" w:themeColor="text1"/>
          <w:kern w:val="0"/>
          <w:szCs w:val="21"/>
        </w:rPr>
      </w:pPr>
      <w:r>
        <w:rPr>
          <w:rFonts w:ascii="Times New Roman" w:hint="eastAsia"/>
        </w:rPr>
        <w:t>对于第</w:t>
      </w:r>
      <w:r>
        <w:rPr>
          <w:rFonts w:ascii="Times New Roman" w:hint="eastAsia"/>
        </w:rPr>
        <w:t>2</w:t>
      </w:r>
      <w:r>
        <w:rPr>
          <w:rFonts w:ascii="Times New Roman" w:hint="eastAsia"/>
        </w:rPr>
        <w:t>条中的规范性引用文件：这些文件</w:t>
      </w:r>
      <w:r>
        <w:rPr>
          <w:rFonts w:ascii="宋体" w:eastAsia="宋体" w:hAnsi="宋体" w:cs="Times New Roman"/>
          <w:color w:val="000000" w:themeColor="text1"/>
          <w:kern w:val="0"/>
          <w:szCs w:val="21"/>
        </w:rPr>
        <w:t>于本</w:t>
      </w:r>
      <w:r>
        <w:rPr>
          <w:rFonts w:ascii="宋体" w:eastAsia="宋体" w:hAnsi="宋体" w:cs="Times New Roman" w:hint="eastAsia"/>
          <w:color w:val="000000" w:themeColor="text1"/>
          <w:kern w:val="0"/>
          <w:szCs w:val="21"/>
        </w:rPr>
        <w:t>标准</w:t>
      </w:r>
      <w:r>
        <w:rPr>
          <w:rFonts w:ascii="宋体" w:eastAsia="宋体" w:hAnsi="宋体" w:cs="Times New Roman"/>
          <w:color w:val="000000" w:themeColor="text1"/>
          <w:kern w:val="0"/>
          <w:szCs w:val="21"/>
        </w:rPr>
        <w:t>的应用是必不可少的。凡是注日期的引用文件，仅注日期的版本适用于本文件。凡是不注日期的引用文件，其最新版本(包括所有的修改单)适用于本文件</w:t>
      </w:r>
      <w:r>
        <w:rPr>
          <w:rFonts w:ascii="宋体" w:eastAsia="宋体" w:hAnsi="宋体" w:cs="Times New Roman" w:hint="eastAsia"/>
          <w:color w:val="000000" w:themeColor="text1"/>
          <w:kern w:val="0"/>
          <w:szCs w:val="21"/>
        </w:rPr>
        <w:t>。</w:t>
      </w:r>
    </w:p>
    <w:p w:rsidR="00743677" w:rsidRDefault="00743677">
      <w:pPr>
        <w:ind w:firstLine="420"/>
        <w:rPr>
          <w:rFonts w:ascii="Times New Roman"/>
        </w:rPr>
      </w:pPr>
    </w:p>
    <w:p w:rsidR="00743677" w:rsidRDefault="00743677">
      <w:pPr>
        <w:ind w:firstLine="420"/>
        <w:rPr>
          <w:rFonts w:ascii="Times New Roman"/>
        </w:rPr>
      </w:pPr>
    </w:p>
    <w:sectPr w:rsidR="00743677" w:rsidSect="00966ED3">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2FF" w:rsidRDefault="005622FF">
      <w:r>
        <w:separator/>
      </w:r>
    </w:p>
  </w:endnote>
  <w:endnote w:type="continuationSeparator" w:id="0">
    <w:p w:rsidR="005622FF" w:rsidRDefault="0056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77" w:rsidRDefault="007436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77" w:rsidRDefault="005622FF">
    <w:pPr>
      <w:pStyle w:val="Footer"/>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43677" w:rsidRDefault="00A90745">
                <w:pPr>
                  <w:pStyle w:val="Footer"/>
                </w:pPr>
                <w:r>
                  <w:rPr>
                    <w:rFonts w:hint="eastAsia"/>
                  </w:rPr>
                  <w:fldChar w:fldCharType="begin"/>
                </w:r>
                <w:r w:rsidR="0097000A">
                  <w:rPr>
                    <w:rFonts w:hint="eastAsia"/>
                  </w:rPr>
                  <w:instrText xml:space="preserve"> PAGE  \* MERGEFORMAT </w:instrText>
                </w:r>
                <w:r>
                  <w:rPr>
                    <w:rFonts w:hint="eastAsia"/>
                  </w:rPr>
                  <w:fldChar w:fldCharType="separate"/>
                </w:r>
                <w:r w:rsidR="00002ABF">
                  <w:rPr>
                    <w:noProof/>
                  </w:rPr>
                  <w:t>2</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2FF" w:rsidRDefault="005622FF">
      <w:r>
        <w:separator/>
      </w:r>
    </w:p>
  </w:footnote>
  <w:footnote w:type="continuationSeparator" w:id="0">
    <w:p w:rsidR="005622FF" w:rsidRDefault="005622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867569"/>
    <w:multiLevelType w:val="hybridMultilevel"/>
    <w:tmpl w:val="DB8E89AE"/>
    <w:lvl w:ilvl="0" w:tplc="89DE73E2">
      <w:start w:val="1"/>
      <w:numFmt w:val="japaneseCounting"/>
      <w:lvlText w:val="%1、"/>
      <w:lvlJc w:val="left"/>
      <w:pPr>
        <w:ind w:left="1360" w:hanging="720"/>
      </w:pPr>
      <w:rPr>
        <w:rFonts w:ascii="宋体" w:eastAsia="宋体" w:hAnsi="宋体" w:cs="Times New Roman"/>
      </w:rPr>
    </w:lvl>
    <w:lvl w:ilvl="1" w:tplc="42AC1BE2">
      <w:start w:val="1"/>
      <w:numFmt w:val="decimal"/>
      <w:lvlText w:val="%2、"/>
      <w:lvlJc w:val="left"/>
      <w:pPr>
        <w:ind w:left="1288" w:hanging="720"/>
      </w:pPr>
      <w:rPr>
        <w:rFonts w:hint="default"/>
        <w:b w:val="0"/>
        <w:color w:val="auto"/>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07F3B83"/>
    <w:rsid w:val="00002ABF"/>
    <w:rsid w:val="000B6E2A"/>
    <w:rsid w:val="00195D92"/>
    <w:rsid w:val="0024584C"/>
    <w:rsid w:val="00306D3D"/>
    <w:rsid w:val="005622FF"/>
    <w:rsid w:val="006215B3"/>
    <w:rsid w:val="00743677"/>
    <w:rsid w:val="00870C21"/>
    <w:rsid w:val="008816F0"/>
    <w:rsid w:val="00966ED3"/>
    <w:rsid w:val="0097000A"/>
    <w:rsid w:val="00A90745"/>
    <w:rsid w:val="00D24390"/>
    <w:rsid w:val="01FE4F2C"/>
    <w:rsid w:val="216B64C4"/>
    <w:rsid w:val="450D6D43"/>
    <w:rsid w:val="672C4C3E"/>
    <w:rsid w:val="707F3B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C6A53AEF-7C65-437F-B2B3-8F2A9DB4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ED3"/>
    <w:pPr>
      <w:widowControl w:val="0"/>
      <w:jc w:val="both"/>
    </w:pPr>
    <w:rPr>
      <w:kern w:val="2"/>
      <w:sz w:val="21"/>
      <w:szCs w:val="24"/>
    </w:rPr>
  </w:style>
  <w:style w:type="paragraph" w:styleId="Heading1">
    <w:name w:val="heading 1"/>
    <w:basedOn w:val="Normal"/>
    <w:next w:val="Normal"/>
    <w:uiPriority w:val="9"/>
    <w:qFormat/>
    <w:rsid w:val="00966ED3"/>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66ED3"/>
    <w:pPr>
      <w:tabs>
        <w:tab w:val="center" w:pos="4153"/>
        <w:tab w:val="right" w:pos="8306"/>
      </w:tabs>
      <w:snapToGrid w:val="0"/>
      <w:jc w:val="left"/>
    </w:pPr>
    <w:rPr>
      <w:sz w:val="18"/>
    </w:rPr>
  </w:style>
  <w:style w:type="paragraph" w:styleId="Header">
    <w:name w:val="header"/>
    <w:basedOn w:val="Normal"/>
    <w:rsid w:val="00966ED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样式 标题 1 + 非加粗"/>
    <w:basedOn w:val="Heading1"/>
    <w:qFormat/>
    <w:rsid w:val="00966ED3"/>
    <w:pPr>
      <w:spacing w:beforeLines="100" w:afterLines="100" w:line="240" w:lineRule="auto"/>
    </w:pPr>
    <w:rPr>
      <w:rFonts w:eastAsia="黑体"/>
      <w:b w:val="0"/>
      <w:bCs w:val="0"/>
      <w:sz w:val="21"/>
    </w:rPr>
  </w:style>
  <w:style w:type="paragraph" w:customStyle="1" w:styleId="a">
    <w:name w:val="段"/>
    <w:qFormat/>
    <w:rsid w:val="00966ED3"/>
    <w:pPr>
      <w:autoSpaceDE w:val="0"/>
      <w:autoSpaceDN w:val="0"/>
      <w:ind w:firstLineChars="200" w:firstLine="200"/>
      <w:jc w:val="both"/>
    </w:pPr>
    <w:rPr>
      <w:rFonts w:ascii="宋体"/>
      <w:kern w:val="2"/>
      <w:sz w:val="21"/>
      <w:szCs w:val="22"/>
    </w:rPr>
  </w:style>
  <w:style w:type="paragraph" w:customStyle="1" w:styleId="WPSOffice1">
    <w:name w:val="WPSOffice手动目录 1"/>
    <w:rsid w:val="00966ED3"/>
  </w:style>
  <w:style w:type="paragraph" w:styleId="BalloonText">
    <w:name w:val="Balloon Text"/>
    <w:basedOn w:val="Normal"/>
    <w:link w:val="BalloonTextChar"/>
    <w:rsid w:val="006215B3"/>
    <w:rPr>
      <w:sz w:val="18"/>
      <w:szCs w:val="18"/>
    </w:rPr>
  </w:style>
  <w:style w:type="character" w:customStyle="1" w:styleId="BalloonTextChar">
    <w:name w:val="Balloon Text Char"/>
    <w:basedOn w:val="DefaultParagraphFont"/>
    <w:link w:val="BalloonText"/>
    <w:rsid w:val="006215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a15e9e-ee3b-4116-b976-3f5073c73af3}"/>
        <w:category>
          <w:name w:val="常规"/>
          <w:gallery w:val="placeholder"/>
        </w:category>
        <w:types>
          <w:type w:val="bbPlcHdr"/>
        </w:types>
        <w:behaviors>
          <w:behavior w:val="content"/>
        </w:behaviors>
        <w:guid w:val="{D2A15E9E-EE3B-4116-B976-3F5073C73AF3}"/>
      </w:docPartPr>
      <w:docPartBody>
        <w:p w:rsidR="008600D6" w:rsidRDefault="00C135F4">
          <w:r>
            <w:rPr>
              <w:color w:val="808080"/>
            </w:rPr>
            <w:t>单击此处输入文字。</w:t>
          </w:r>
        </w:p>
      </w:docPartBody>
    </w:docPart>
    <w:docPart>
      <w:docPartPr>
        <w:name w:val="{4698afb2-3f53-46d2-bf49-5adb86b5438a}"/>
        <w:category>
          <w:name w:val="常规"/>
          <w:gallery w:val="placeholder"/>
        </w:category>
        <w:types>
          <w:type w:val="bbPlcHdr"/>
        </w:types>
        <w:behaviors>
          <w:behavior w:val="content"/>
        </w:behaviors>
        <w:guid w:val="{4698AFB2-3F53-46D2-BF49-5ADB86B5438A}"/>
      </w:docPartPr>
      <w:docPartBody>
        <w:p w:rsidR="008600D6" w:rsidRDefault="00C135F4">
          <w:r>
            <w:rPr>
              <w:color w:val="808080"/>
            </w:rPr>
            <w:t>单击此处输入文字。</w:t>
          </w:r>
        </w:p>
      </w:docPartBody>
    </w:docPart>
    <w:docPart>
      <w:docPartPr>
        <w:name w:val="{e29db11d-863f-4c5a-bb1f-e8fc808017b8}"/>
        <w:category>
          <w:name w:val="常规"/>
          <w:gallery w:val="placeholder"/>
        </w:category>
        <w:types>
          <w:type w:val="bbPlcHdr"/>
        </w:types>
        <w:behaviors>
          <w:behavior w:val="content"/>
        </w:behaviors>
        <w:guid w:val="{E29DB11D-863F-4C5A-BB1F-E8FC808017B8}"/>
      </w:docPartPr>
      <w:docPartBody>
        <w:p w:rsidR="008600D6" w:rsidRDefault="00C135F4">
          <w:r>
            <w:rPr>
              <w:color w:val="808080"/>
            </w:rPr>
            <w:t>单击此处输入文字。</w:t>
          </w:r>
        </w:p>
      </w:docPartBody>
    </w:docPart>
    <w:docPart>
      <w:docPartPr>
        <w:name w:val="{f7d554d6-6718-4d8a-8b16-efab6d4e2b86}"/>
        <w:category>
          <w:name w:val="常规"/>
          <w:gallery w:val="placeholder"/>
        </w:category>
        <w:types>
          <w:type w:val="bbPlcHdr"/>
        </w:types>
        <w:behaviors>
          <w:behavior w:val="content"/>
        </w:behaviors>
        <w:guid w:val="{F7D554D6-6718-4D8A-8B16-EFAB6D4E2B86}"/>
      </w:docPartPr>
      <w:docPartBody>
        <w:p w:rsidR="008600D6" w:rsidRDefault="00C135F4">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characterSpacingControl w:val="doNotCompress"/>
  <w:compat>
    <w:useFELayout/>
    <w:splitPgBreakAndParaMark/>
    <w:compatSetting w:name="compatibilityMode" w:uri="http://schemas.microsoft.com/office/word" w:val="12"/>
  </w:compat>
  <w:rsids>
    <w:rsidRoot w:val="008600D6"/>
    <w:rsid w:val="008600D6"/>
    <w:rsid w:val="008C1D3A"/>
    <w:rsid w:val="00946D09"/>
    <w:rsid w:val="00C135F4"/>
    <w:rsid w:val="00FB4C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D09"/>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2E54D8-5B88-47C5-B464-BCA14DCD8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Acer</cp:lastModifiedBy>
  <cp:revision>8</cp:revision>
  <dcterms:created xsi:type="dcterms:W3CDTF">2019-04-10T01:05:00Z</dcterms:created>
  <dcterms:modified xsi:type="dcterms:W3CDTF">2019-04-15T03:04:00Z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