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10kV带电作业用电动绝缘锁杆技术规范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742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2025-04-11T02:13:19Z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D97004CE9FEB44BB9D67FC28E0EDA744_12</vt:lpwstr>
  </property>
</Properties>
</file>