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附件2</w:t>
      </w:r>
    </w:p>
    <w:p>
      <w:pPr>
        <w:jc w:val="left"/>
        <w:rPr>
          <w:rFonts w:hint="eastAsia" w:ascii="宋体" w:hAnsi="宋体" w:eastAsia="宋体" w:cs="宋体"/>
          <w:b/>
          <w:color w:val="auto"/>
          <w:sz w:val="44"/>
          <w:szCs w:val="44"/>
          <w:lang w:val="en-US" w:eastAsia="zh-CN"/>
        </w:rPr>
      </w:pP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第二届全国高校电气类专业</w:t>
      </w: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青年教师实践教学设计创新大赛</w:t>
      </w: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电气自动化系统综合应用竞赛规程</w:t>
      </w:r>
    </w:p>
    <w:p>
      <w:pPr>
        <w:jc w:val="center"/>
        <w:rPr>
          <w:rFonts w:ascii="微软雅黑" w:hAnsi="微软雅黑" w:eastAsia="微软雅黑" w:cs="Times New Roman"/>
          <w:b/>
          <w:color w:val="000000"/>
          <w:sz w:val="30"/>
          <w:szCs w:val="30"/>
        </w:rPr>
      </w:pPr>
      <w:bookmarkStart w:id="2" w:name="_GoBack"/>
      <w:bookmarkEnd w:id="2"/>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一、赛项目的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应用竞赛为电气自动化系统综合应用竞赛的简称。本赛项主要是对接当前市场出现的新技术、新软件，开展的专业综合系统集成应用竞赛。目的是提升教师工程能力和工程人才培养水平，助推产教融合、科教融汇、协同育人，促进各院校新工科专业改革创新与发展，不断提高人才培养质量。比赛统一使用电气自动化系统综合应用竞赛平台。参赛队在规定时间内完成竞赛任务书要求的系统构思设计、机电设备配置与安装、电气控制系统编程调试、数字化虚拟仿真软件应用、项目化课程实践教学方案设计与组织实施等。</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二、参赛对象</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1.参赛对象</w:t>
      </w:r>
    </w:p>
    <w:p>
      <w:pPr>
        <w:pStyle w:val="2"/>
        <w:widowControl/>
        <w:spacing w:line="405" w:lineRule="atLeast"/>
        <w:ind w:firstLine="560" w:firstLineChars="200"/>
        <w:rPr>
          <w:rFonts w:hint="eastAsia" w:ascii="仿宋" w:hAnsi="仿宋" w:eastAsia="仿宋" w:cs="仿宋"/>
          <w:b/>
          <w:bCs/>
          <w:color w:val="000000" w:themeColor="text1"/>
          <w:sz w:val="32"/>
          <w:szCs w:val="32"/>
        </w:rPr>
      </w:pPr>
      <w:r>
        <w:rPr>
          <w:rFonts w:hint="eastAsia" w:ascii="仿宋" w:hAnsi="仿宋" w:eastAsia="仿宋" w:cs="仿宋"/>
          <w:sz w:val="28"/>
          <w:szCs w:val="28"/>
        </w:rPr>
        <w:t>全国高等院校电气类、自动化类、信息类、机电类等专业青年教师。年龄在45周岁以下(含45岁)。</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2.参赛要求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（1）本次大赛各赛项均为团体赛项，不跨校组队。参赛选手须为各校在职教师；</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（2）综合应用竞赛为2名教师一组；</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（3）各校报名组队不限专业、不限队数。</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三、竞赛要求</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1.竞赛内容</w:t>
      </w:r>
    </w:p>
    <w:p>
      <w:pPr>
        <w:widowControl/>
        <w:spacing w:before="115"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赛项重点检验选手在电气工程及其自动化、自动化、智能控制、机电一体化、机器人工程、智能制造工程等专业建设中新技术的综合应用能力。主要内容为可编程控制系统、机电传动装置、伺服系统、机器人、机器视觉、传感器、组态、互联网、数字化仿真软件等。竞赛形式为电气控制系统在集成生产线上的应用，包括机电部件的安装、调试与运维，机器视觉与机器人系统集成应用，数字化虚拟仿真软件设计与应用等，同时考核选手临场应变、工作效率、质量意识、安全意识、节能环保意识、操作规范性等职业素质与素养水平。竞赛时间为4小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2.竞赛要求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综合应用竞赛参赛团队，须在指定的竞赛设备平台上和规定时间内完成竞赛任务书相关内容要求；</w:t>
      </w:r>
    </w:p>
    <w:p>
      <w:pPr>
        <w:pStyle w:val="8"/>
        <w:spacing w:line="360" w:lineRule="auto"/>
        <w:ind w:left="1" w:firstLine="565" w:firstLineChars="202"/>
        <w:rPr>
          <w:rFonts w:hint="eastAsia" w:ascii="仿宋" w:hAnsi="仿宋" w:eastAsia="仿宋" w:cs="仿宋"/>
          <w:sz w:val="28"/>
          <w:szCs w:val="28"/>
        </w:rPr>
      </w:pPr>
      <w:r>
        <w:rPr>
          <w:rFonts w:hint="eastAsia" w:ascii="仿宋" w:hAnsi="仿宋" w:eastAsia="仿宋" w:cs="仿宋"/>
          <w:sz w:val="28"/>
          <w:szCs w:val="28"/>
        </w:rPr>
        <w:t>（1）系统硬件的设计安装与调试；</w:t>
      </w:r>
    </w:p>
    <w:p>
      <w:pPr>
        <w:pStyle w:val="8"/>
        <w:spacing w:line="360" w:lineRule="auto"/>
        <w:ind w:left="1" w:firstLine="565" w:firstLineChars="202"/>
        <w:rPr>
          <w:rFonts w:hint="eastAsia" w:ascii="仿宋" w:hAnsi="仿宋" w:eastAsia="仿宋" w:cs="仿宋"/>
          <w:sz w:val="28"/>
          <w:szCs w:val="28"/>
        </w:rPr>
      </w:pPr>
      <w:r>
        <w:rPr>
          <w:rFonts w:hint="eastAsia" w:ascii="仿宋" w:hAnsi="仿宋" w:eastAsia="仿宋" w:cs="仿宋"/>
          <w:sz w:val="28"/>
          <w:szCs w:val="28"/>
        </w:rPr>
        <w:t>（2）数字化虚拟仿真设计与应用；</w:t>
      </w:r>
    </w:p>
    <w:p>
      <w:pPr>
        <w:pStyle w:val="8"/>
        <w:spacing w:line="360" w:lineRule="auto"/>
        <w:ind w:left="1" w:firstLine="565" w:firstLineChars="202"/>
        <w:rPr>
          <w:rFonts w:hint="eastAsia" w:ascii="仿宋" w:hAnsi="仿宋" w:eastAsia="仿宋" w:cs="仿宋"/>
          <w:sz w:val="28"/>
          <w:szCs w:val="28"/>
        </w:rPr>
      </w:pPr>
      <w:r>
        <w:rPr>
          <w:rFonts w:hint="eastAsia" w:ascii="仿宋" w:hAnsi="仿宋" w:eastAsia="仿宋" w:cs="仿宋"/>
          <w:sz w:val="28"/>
          <w:szCs w:val="28"/>
        </w:rPr>
        <w:t>（3）项目化课程实践教学方案设计与组织实施。</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3.竞赛平台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设备平台是由技术支持单位提供。该设备平台集成了自动化、数字化、智能化、网络化、可视化、机电一体化等所需的硬软件环境和条件，以实现某一电气自动化生产线机电控任务的设计安装和调试；平台所采用的控制器、人机界面、伺服系统、编程软件、机器人、机器视觉、智能设备等由企业统一提供；详细平台信息以竞赛网站公布的信息为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四、竞赛流程</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1.竞赛报名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竞赛通知发布后，各院校参赛者组建竞赛团队，在竞赛报名系统里选择 “综合应用”竞赛种类，填写竞赛报名的相关信息，在规定时间内提交，报名截止日期以通知为准。参赛选手须为本校在职人员，团队人数2人(其中1人为组长)。报名截止日期以竞赛通知为准。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2.初赛安排</w:t>
      </w:r>
    </w:p>
    <w:p>
      <w:pPr>
        <w:spacing w:line="360" w:lineRule="auto"/>
        <w:ind w:firstLine="280" w:firstLineChars="100"/>
        <w:rPr>
          <w:rFonts w:hint="eastAsia" w:ascii="仿宋" w:hAnsi="仿宋" w:eastAsia="仿宋" w:cs="仿宋"/>
          <w:b/>
          <w:bCs/>
          <w:sz w:val="28"/>
          <w:szCs w:val="28"/>
        </w:rPr>
      </w:pPr>
      <w:r>
        <w:rPr>
          <w:rFonts w:hint="eastAsia" w:ascii="仿宋" w:hAnsi="仿宋" w:eastAsia="仿宋" w:cs="仿宋"/>
          <w:sz w:val="28"/>
          <w:szCs w:val="28"/>
        </w:rPr>
        <w:t>（1）初赛时间：2023年10月，线上进行。</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（2）初赛内容：针对竞赛平台，进行项目化课程实践教学设计与组织实施，撰写具体方案报告并提交，讲解时采用PPT，时间不超过8分钟。</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（3）初赛评审：专家对选手提交的方案进行评审和答辩，评审结果在竞赛网站公布</w:t>
      </w:r>
      <w:r>
        <w:rPr>
          <w:rFonts w:hint="eastAsia" w:ascii="仿宋" w:hAnsi="仿宋" w:eastAsia="仿宋" w:cs="仿宋"/>
          <w:color w:val="000000" w:themeColor="text1"/>
          <w:sz w:val="28"/>
          <w:szCs w:val="28"/>
        </w:rPr>
        <w:t>。初赛成绩不计入决赛。</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3.培训安排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为了帮助参赛选手熟悉竞赛平台，除在竞赛网站发布相关学习资料，还将在7-10月组织相关会议或培训，具体通知请关注竞赛网站。 </w:t>
      </w:r>
    </w:p>
    <w:p>
      <w:pPr>
        <w:spacing w:line="360" w:lineRule="auto"/>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决赛安排</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决赛时间拟定在11月举行，具体以通知为准。</w:t>
      </w:r>
    </w:p>
    <w:p>
      <w:pPr>
        <w:spacing w:line="360" w:lineRule="auto"/>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竞赛流程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决赛流程如下图所示。</w:t>
      </w:r>
    </w:p>
    <w:p>
      <w:pPr>
        <w:spacing w:line="360" w:lineRule="auto"/>
        <w:jc w:val="center"/>
        <w:rPr>
          <w:rFonts w:hint="eastAsia" w:ascii="仿宋" w:hAnsi="仿宋" w:eastAsia="仿宋" w:cs="仿宋"/>
        </w:rPr>
      </w:pPr>
      <w:r>
        <w:rPr>
          <w:rFonts w:hint="eastAsia" w:ascii="仿宋" w:hAnsi="仿宋" w:eastAsia="仿宋" w:cs="仿宋"/>
        </w:rPr>
        <w:object>
          <v:shape id="_x0000_i1025" o:spt="75" type="#_x0000_t75" style="height:419.3pt;width:226.8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综合应用竞赛决赛流程</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五、评审标准</w:t>
      </w:r>
    </w:p>
    <w:p>
      <w:pPr>
        <w:widowControl/>
        <w:spacing w:before="115"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综合应用竞赛决赛由电气自动化生产线的设计安装与调试、数字化软件设计与虚拟仿真、实践教学方案设计与组织实施等组成。</w:t>
      </w:r>
    </w:p>
    <w:p>
      <w:pPr>
        <w:widowControl/>
        <w:spacing w:before="115" w:line="360" w:lineRule="auto"/>
        <w:jc w:val="left"/>
        <w:rPr>
          <w:rFonts w:hint="eastAsia" w:ascii="仿宋" w:hAnsi="仿宋" w:eastAsia="仿宋" w:cs="仿宋"/>
          <w:b/>
          <w:bCs/>
          <w:sz w:val="28"/>
          <w:szCs w:val="28"/>
        </w:rPr>
      </w:pPr>
      <w:r>
        <w:rPr>
          <w:rFonts w:hint="eastAsia" w:ascii="仿宋" w:hAnsi="仿宋" w:eastAsia="仿宋" w:cs="仿宋"/>
          <w:b/>
          <w:bCs/>
          <w:sz w:val="28"/>
          <w:szCs w:val="28"/>
        </w:rPr>
        <w:t>1</w:t>
      </w:r>
      <w:bookmarkStart w:id="0" w:name="_Hlk75468572"/>
      <w:r>
        <w:rPr>
          <w:rFonts w:hint="eastAsia" w:ascii="仿宋" w:hAnsi="仿宋" w:eastAsia="仿宋" w:cs="仿宋"/>
          <w:b/>
          <w:bCs/>
          <w:sz w:val="28"/>
          <w:szCs w:val="28"/>
        </w:rPr>
        <w:t>.生产线的设计安装与调试</w:t>
      </w:r>
      <w:bookmarkEnd w:id="0"/>
      <w:r>
        <w:rPr>
          <w:rFonts w:hint="eastAsia" w:ascii="仿宋" w:hAnsi="仿宋" w:eastAsia="仿宋" w:cs="仿宋"/>
          <w:b/>
          <w:bCs/>
          <w:sz w:val="28"/>
          <w:szCs w:val="28"/>
        </w:rPr>
        <w:t>（70%）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color w:val="000000" w:themeColor="text1"/>
          <w:sz w:val="28"/>
          <w:szCs w:val="28"/>
        </w:rPr>
        <w:t>竞赛</w:t>
      </w:r>
      <w:r>
        <w:rPr>
          <w:rFonts w:hint="eastAsia" w:ascii="仿宋" w:hAnsi="仿宋" w:eastAsia="仿宋" w:cs="仿宋"/>
          <w:sz w:val="28"/>
          <w:szCs w:val="28"/>
        </w:rPr>
        <w:t>任务书的要求，完成生产线机电部件安装、编程和调试等，综合考虑其功能的正确性、安全可靠性、布局合理性和操作规范性等，本部分占总分的70%，评审内容如表1所示。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表1、生产线的设计安装与调试评分表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4406"/>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26" w:type="dxa"/>
            <w:noWrap/>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评分项目</w:t>
            </w:r>
          </w:p>
        </w:tc>
        <w:tc>
          <w:tcPr>
            <w:tcW w:w="4406"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评分内容</w:t>
            </w:r>
          </w:p>
        </w:tc>
        <w:tc>
          <w:tcPr>
            <w:tcW w:w="993"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配分</w:t>
            </w:r>
          </w:p>
        </w:tc>
        <w:tc>
          <w:tcPr>
            <w:tcW w:w="992" w:type="dxa"/>
            <w:noWra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机电装配</w:t>
            </w:r>
          </w:p>
          <w:p>
            <w:pPr>
              <w:spacing w:line="360" w:lineRule="auto"/>
              <w:jc w:val="center"/>
              <w:rPr>
                <w:rFonts w:hint="eastAsia" w:ascii="仿宋" w:hAnsi="仿宋" w:eastAsia="仿宋" w:cs="仿宋"/>
                <w:szCs w:val="21"/>
              </w:rPr>
            </w:pPr>
            <w:r>
              <w:rPr>
                <w:rFonts w:hint="eastAsia" w:ascii="仿宋" w:hAnsi="仿宋" w:eastAsia="仿宋" w:cs="仿宋"/>
                <w:szCs w:val="21"/>
              </w:rPr>
              <w:t>（20分）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1、部件安装部位正确，每处不正确扣2分，直到扣完为止。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8</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2、各部件安装合理，每处不合理扣2分，直到扣完为止。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3、气路连接正确，捆扎规范，如有漏气、不规范等，每处不合理扣2分，直到扣完为止。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电气安装</w:t>
            </w:r>
          </w:p>
          <w:p>
            <w:pPr>
              <w:spacing w:line="360" w:lineRule="auto"/>
              <w:jc w:val="center"/>
              <w:rPr>
                <w:rFonts w:hint="eastAsia" w:ascii="仿宋" w:hAnsi="仿宋" w:eastAsia="仿宋" w:cs="仿宋"/>
                <w:szCs w:val="21"/>
              </w:rPr>
            </w:pPr>
            <w:r>
              <w:rPr>
                <w:rFonts w:hint="eastAsia" w:ascii="仿宋" w:hAnsi="仿宋" w:eastAsia="仿宋" w:cs="仿宋"/>
                <w:szCs w:val="21"/>
              </w:rPr>
              <w:t>（20分）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1、电气接线正确，捆扎规范，每处不正确或不规范扣2分，直到扣完为止。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2、传感器等安装正确合理，每处不正确、不合理扣2分，直到扣完为止。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系统设计</w:t>
            </w:r>
          </w:p>
          <w:p>
            <w:pPr>
              <w:spacing w:line="360" w:lineRule="auto"/>
              <w:jc w:val="center"/>
              <w:rPr>
                <w:rFonts w:hint="eastAsia" w:ascii="仿宋" w:hAnsi="仿宋" w:eastAsia="仿宋" w:cs="仿宋"/>
                <w:szCs w:val="21"/>
              </w:rPr>
            </w:pPr>
            <w:r>
              <w:rPr>
                <w:rFonts w:hint="eastAsia" w:ascii="仿宋" w:hAnsi="仿宋" w:eastAsia="仿宋" w:cs="仿宋"/>
                <w:szCs w:val="21"/>
              </w:rPr>
              <w:t>编程与调试</w:t>
            </w:r>
          </w:p>
          <w:p>
            <w:pPr>
              <w:spacing w:line="360" w:lineRule="auto"/>
              <w:jc w:val="center"/>
              <w:rPr>
                <w:rFonts w:hint="eastAsia" w:ascii="仿宋" w:hAnsi="仿宋" w:eastAsia="仿宋" w:cs="仿宋"/>
                <w:szCs w:val="21"/>
              </w:rPr>
            </w:pPr>
            <w:r>
              <w:rPr>
                <w:rFonts w:hint="eastAsia" w:ascii="仿宋" w:hAnsi="仿宋" w:eastAsia="仿宋" w:cs="仿宋"/>
                <w:szCs w:val="21"/>
              </w:rPr>
              <w:t>（50分）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1、控制功能正确。缺失一功能或不符合要求扣2分，直到扣完为止。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2、显示功能正确。缺失一功能或不符合要求扣2分，直到扣完为止。</w:t>
            </w:r>
          </w:p>
        </w:tc>
        <w:tc>
          <w:tcPr>
            <w:tcW w:w="993" w:type="dxa"/>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3、伺服系统功能正确。缺失一功能或不符合要求扣2分，直到扣完为止。</w:t>
            </w:r>
          </w:p>
        </w:tc>
        <w:tc>
          <w:tcPr>
            <w:tcW w:w="993" w:type="dxa"/>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4、机器人与视觉功能正确。缺失一功能或不符合要求扣2分，直到扣完为止。</w:t>
            </w:r>
          </w:p>
        </w:tc>
        <w:tc>
          <w:tcPr>
            <w:tcW w:w="993" w:type="dxa"/>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26" w:type="dxa"/>
            <w:vMerge w:val="continue"/>
            <w:vAlign w:val="center"/>
          </w:tcPr>
          <w:p>
            <w:pPr>
              <w:spacing w:line="360" w:lineRule="auto"/>
              <w:jc w:val="center"/>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5、系统集成功能正确。缺失一功能或不符合要求扣2分，直到扣完为止。</w:t>
            </w:r>
          </w:p>
        </w:tc>
        <w:tc>
          <w:tcPr>
            <w:tcW w:w="993" w:type="dxa"/>
            <w:vAlign w:val="center"/>
          </w:tcPr>
          <w:p>
            <w:pPr>
              <w:jc w:val="center"/>
              <w:rPr>
                <w:rFonts w:hint="eastAsia" w:ascii="仿宋" w:hAnsi="仿宋" w:eastAsia="仿宋" w:cs="仿宋"/>
                <w:szCs w:val="21"/>
              </w:rPr>
            </w:pPr>
            <w:r>
              <w:rPr>
                <w:rFonts w:hint="eastAsia" w:ascii="仿宋" w:hAnsi="仿宋" w:eastAsia="仿宋" w:cs="仿宋"/>
                <w:szCs w:val="21"/>
              </w:rPr>
              <w:t>10</w:t>
            </w:r>
          </w:p>
        </w:tc>
        <w:tc>
          <w:tcPr>
            <w:tcW w:w="992" w:type="dxa"/>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26" w:type="dxa"/>
            <w:vMerge w:val="restar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职业素养</w:t>
            </w:r>
          </w:p>
          <w:p>
            <w:pPr>
              <w:spacing w:line="360" w:lineRule="auto"/>
              <w:jc w:val="center"/>
              <w:rPr>
                <w:rFonts w:hint="eastAsia" w:ascii="仿宋" w:hAnsi="仿宋" w:eastAsia="仿宋" w:cs="仿宋"/>
                <w:szCs w:val="21"/>
              </w:rPr>
            </w:pPr>
            <w:r>
              <w:rPr>
                <w:rFonts w:hint="eastAsia" w:ascii="仿宋" w:hAnsi="仿宋" w:eastAsia="仿宋" w:cs="仿宋"/>
                <w:szCs w:val="21"/>
              </w:rPr>
              <w:t>（10分）</w:t>
            </w: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1、选手需穿着工作服、绝缘工作鞋等，不符规定每处扣1分，扣完为止。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26" w:type="dxa"/>
            <w:vMerge w:val="continue"/>
          </w:tcPr>
          <w:p>
            <w:pPr>
              <w:spacing w:line="360" w:lineRule="auto"/>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2、操作规范，不规范每次扣1分，扣完为止。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26" w:type="dxa"/>
            <w:vMerge w:val="continue"/>
          </w:tcPr>
          <w:p>
            <w:pPr>
              <w:spacing w:line="360" w:lineRule="auto"/>
              <w:rPr>
                <w:rFonts w:hint="eastAsia" w:ascii="仿宋" w:hAnsi="仿宋" w:eastAsia="仿宋" w:cs="仿宋"/>
                <w:szCs w:val="21"/>
              </w:rPr>
            </w:pPr>
          </w:p>
        </w:tc>
        <w:tc>
          <w:tcPr>
            <w:tcW w:w="4406" w:type="dxa"/>
          </w:tcPr>
          <w:p>
            <w:pPr>
              <w:spacing w:line="276" w:lineRule="auto"/>
              <w:rPr>
                <w:rFonts w:hint="eastAsia" w:ascii="仿宋" w:hAnsi="仿宋" w:eastAsia="仿宋" w:cs="仿宋"/>
                <w:szCs w:val="21"/>
              </w:rPr>
            </w:pPr>
            <w:r>
              <w:rPr>
                <w:rFonts w:hint="eastAsia" w:ascii="仿宋" w:hAnsi="仿宋" w:eastAsia="仿宋" w:cs="仿宋"/>
                <w:szCs w:val="21"/>
              </w:rPr>
              <w:t>3、带电操作，一次扣2分，扣完为止。</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992" w:type="dxa"/>
            <w:noWrap/>
          </w:tcPr>
          <w:p>
            <w:pPr>
              <w:spacing w:line="360"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232" w:type="dxa"/>
            <w:gridSpan w:val="2"/>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合  计</w:t>
            </w:r>
          </w:p>
        </w:tc>
        <w:tc>
          <w:tcPr>
            <w:tcW w:w="993" w:type="dxa"/>
            <w:noWrap/>
            <w:vAlign w:val="center"/>
          </w:tcPr>
          <w:p>
            <w:pPr>
              <w:jc w:val="center"/>
              <w:rPr>
                <w:rFonts w:hint="eastAsia" w:ascii="仿宋" w:hAnsi="仿宋" w:eastAsia="仿宋" w:cs="仿宋"/>
                <w:szCs w:val="21"/>
              </w:rPr>
            </w:pPr>
            <w:r>
              <w:rPr>
                <w:rFonts w:hint="eastAsia" w:ascii="仿宋" w:hAnsi="仿宋" w:eastAsia="仿宋" w:cs="仿宋"/>
                <w:szCs w:val="21"/>
              </w:rPr>
              <w:t>100</w:t>
            </w:r>
          </w:p>
        </w:tc>
        <w:tc>
          <w:tcPr>
            <w:tcW w:w="992" w:type="dxa"/>
            <w:noWrap/>
          </w:tcPr>
          <w:p>
            <w:pPr>
              <w:spacing w:line="360" w:lineRule="auto"/>
              <w:rPr>
                <w:rFonts w:hint="eastAsia" w:ascii="仿宋" w:hAnsi="仿宋" w:eastAsia="仿宋" w:cs="仿宋"/>
                <w:szCs w:val="21"/>
              </w:rPr>
            </w:pPr>
          </w:p>
        </w:tc>
      </w:tr>
    </w:tbl>
    <w:p>
      <w:pPr>
        <w:widowControl/>
        <w:spacing w:before="115" w:line="360" w:lineRule="auto"/>
        <w:jc w:val="left"/>
        <w:rPr>
          <w:rFonts w:hint="eastAsia" w:ascii="仿宋" w:hAnsi="仿宋" w:eastAsia="仿宋" w:cs="仿宋"/>
          <w:b/>
          <w:bCs/>
          <w:sz w:val="28"/>
          <w:szCs w:val="28"/>
        </w:rPr>
      </w:pPr>
    </w:p>
    <w:p>
      <w:pPr>
        <w:widowControl/>
        <w:spacing w:before="115" w:line="360" w:lineRule="auto"/>
        <w:jc w:val="left"/>
        <w:rPr>
          <w:rFonts w:hint="eastAsia" w:ascii="仿宋" w:hAnsi="仿宋" w:eastAsia="仿宋" w:cs="仿宋"/>
          <w:b/>
          <w:bCs/>
          <w:sz w:val="28"/>
          <w:szCs w:val="28"/>
        </w:rPr>
      </w:pPr>
      <w:r>
        <w:rPr>
          <w:rFonts w:hint="eastAsia" w:ascii="仿宋" w:hAnsi="仿宋" w:eastAsia="仿宋" w:cs="仿宋"/>
          <w:b/>
          <w:bCs/>
          <w:sz w:val="28"/>
          <w:szCs w:val="28"/>
        </w:rPr>
        <w:t>2</w:t>
      </w:r>
      <w:bookmarkStart w:id="1" w:name="_Hlk75468583"/>
      <w:r>
        <w:rPr>
          <w:rFonts w:hint="eastAsia" w:ascii="仿宋" w:hAnsi="仿宋" w:eastAsia="仿宋" w:cs="仿宋"/>
          <w:b/>
          <w:bCs/>
          <w:sz w:val="28"/>
          <w:szCs w:val="28"/>
        </w:rPr>
        <w:t>.</w:t>
      </w:r>
      <w:bookmarkEnd w:id="1"/>
      <w:r>
        <w:rPr>
          <w:rFonts w:hint="eastAsia" w:ascii="仿宋" w:hAnsi="仿宋" w:eastAsia="仿宋" w:cs="仿宋"/>
          <w:b/>
          <w:sz w:val="28"/>
          <w:szCs w:val="28"/>
        </w:rPr>
        <w:t xml:space="preserve"> 数字化设计和仿真实践</w:t>
      </w:r>
      <w:r>
        <w:rPr>
          <w:rFonts w:hint="eastAsia" w:ascii="仿宋" w:hAnsi="仿宋" w:eastAsia="仿宋" w:cs="仿宋"/>
          <w:b/>
          <w:bCs/>
          <w:sz w:val="28"/>
          <w:szCs w:val="28"/>
        </w:rPr>
        <w:t>（20%）</w:t>
      </w:r>
    </w:p>
    <w:p>
      <w:pPr>
        <w:spacing w:before="115"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借助数字化设计软件，完成某一教学案例的数字化设计和仿真实践，要求设计规范、功能满足项目实践要求，实际运行与仿真一致。本部分占总分的20%，评审内容如表2所示。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表2、数字化设计和仿真实践评分表</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25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80" w:type="dxa"/>
            <w:noWrap/>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评分项目</w:t>
            </w:r>
          </w:p>
        </w:tc>
        <w:tc>
          <w:tcPr>
            <w:tcW w:w="4252" w:type="dxa"/>
            <w:noWrap/>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评分内容</w:t>
            </w:r>
          </w:p>
        </w:tc>
        <w:tc>
          <w:tcPr>
            <w:tcW w:w="993" w:type="dxa"/>
            <w:noWrap/>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配分</w:t>
            </w:r>
          </w:p>
        </w:tc>
        <w:tc>
          <w:tcPr>
            <w:tcW w:w="992" w:type="dxa"/>
            <w:noWrap/>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restart"/>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模型基本设置</w:t>
            </w:r>
          </w:p>
          <w:p>
            <w:pPr>
              <w:spacing w:line="276" w:lineRule="auto"/>
              <w:jc w:val="center"/>
              <w:rPr>
                <w:rFonts w:hint="eastAsia" w:ascii="仿宋" w:hAnsi="仿宋" w:eastAsia="仿宋" w:cs="仿宋"/>
                <w:szCs w:val="21"/>
              </w:rPr>
            </w:pPr>
            <w:r>
              <w:rPr>
                <w:rFonts w:hint="eastAsia" w:ascii="仿宋" w:hAnsi="仿宋" w:eastAsia="仿宋" w:cs="仿宋"/>
                <w:szCs w:val="21"/>
              </w:rPr>
              <w:t>（10%）</w:t>
            </w: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1、模型的合理选择、导入、定义、分类，每处不正确扣1分，直到扣完为止。</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5</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continue"/>
            <w:vAlign w:val="center"/>
          </w:tcPr>
          <w:p>
            <w:pPr>
              <w:spacing w:line="276" w:lineRule="auto"/>
              <w:jc w:val="center"/>
              <w:rPr>
                <w:rFonts w:hint="eastAsia" w:ascii="仿宋" w:hAnsi="仿宋" w:eastAsia="仿宋" w:cs="仿宋"/>
                <w:szCs w:val="21"/>
              </w:rPr>
            </w:pP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2、建立机械运动关系，每处不合理扣1分，直到扣完为止。</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5</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restart"/>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模型搭建及仿真</w:t>
            </w:r>
          </w:p>
          <w:p>
            <w:pPr>
              <w:spacing w:line="276" w:lineRule="auto"/>
              <w:jc w:val="center"/>
              <w:rPr>
                <w:rFonts w:hint="eastAsia" w:ascii="仿宋" w:hAnsi="仿宋" w:eastAsia="仿宋" w:cs="仿宋"/>
                <w:szCs w:val="21"/>
              </w:rPr>
            </w:pPr>
            <w:r>
              <w:rPr>
                <w:rFonts w:hint="eastAsia" w:ascii="仿宋" w:hAnsi="仿宋" w:eastAsia="仿宋" w:cs="仿宋"/>
                <w:szCs w:val="21"/>
              </w:rPr>
              <w:t>（40分）</w:t>
            </w: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1、模型中设备本体、机器人的坐标系、夹具的定义设置，每处不正确扣2分，直到扣完为止。</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16</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continue"/>
            <w:vAlign w:val="center"/>
          </w:tcPr>
          <w:p>
            <w:pPr>
              <w:spacing w:line="276" w:lineRule="auto"/>
              <w:jc w:val="center"/>
              <w:rPr>
                <w:rFonts w:hint="eastAsia" w:ascii="仿宋" w:hAnsi="仿宋" w:eastAsia="仿宋" w:cs="仿宋"/>
                <w:szCs w:val="21"/>
              </w:rPr>
            </w:pP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2、程序编写，虚拟状态演示，功能正确，符合任务要求。缺失一功能或不符合要求扣3分，直到扣完为止。</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24</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vMerge w:val="restart"/>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虚拟现实调试</w:t>
            </w:r>
          </w:p>
          <w:p>
            <w:pPr>
              <w:spacing w:line="276" w:lineRule="auto"/>
              <w:jc w:val="center"/>
              <w:rPr>
                <w:rFonts w:hint="eastAsia" w:ascii="仿宋" w:hAnsi="仿宋" w:eastAsia="仿宋" w:cs="仿宋"/>
                <w:szCs w:val="21"/>
              </w:rPr>
            </w:pPr>
            <w:r>
              <w:rPr>
                <w:rFonts w:hint="eastAsia" w:ascii="仿宋" w:hAnsi="仿宋" w:eastAsia="仿宋" w:cs="仿宋"/>
                <w:szCs w:val="21"/>
              </w:rPr>
              <w:t>（40分）</w:t>
            </w: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1、物理设备与虚拟设备实现同步调试，功能正确，符合任务要求。缺失一功能或不符合要求扣3分，直到扣完为止。</w:t>
            </w:r>
          </w:p>
        </w:tc>
        <w:tc>
          <w:tcPr>
            <w:tcW w:w="993" w:type="dxa"/>
            <w:vMerge w:val="restart"/>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40</w:t>
            </w:r>
          </w:p>
        </w:tc>
        <w:tc>
          <w:tcPr>
            <w:tcW w:w="992" w:type="dxa"/>
            <w:vMerge w:val="restart"/>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continue"/>
            <w:vAlign w:val="center"/>
          </w:tcPr>
          <w:p>
            <w:pPr>
              <w:spacing w:line="276" w:lineRule="auto"/>
              <w:jc w:val="center"/>
              <w:rPr>
                <w:rFonts w:hint="eastAsia" w:ascii="仿宋" w:hAnsi="仿宋" w:eastAsia="仿宋" w:cs="仿宋"/>
                <w:szCs w:val="21"/>
              </w:rPr>
            </w:pP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2、不能实现正常运行，但可完成简单操作，最高给15分。</w:t>
            </w:r>
          </w:p>
        </w:tc>
        <w:tc>
          <w:tcPr>
            <w:tcW w:w="993" w:type="dxa"/>
            <w:vMerge w:val="continue"/>
            <w:vAlign w:val="center"/>
          </w:tcPr>
          <w:p>
            <w:pPr>
              <w:spacing w:line="276" w:lineRule="auto"/>
              <w:jc w:val="center"/>
              <w:rPr>
                <w:rFonts w:hint="eastAsia" w:ascii="仿宋" w:hAnsi="仿宋" w:eastAsia="仿宋" w:cs="仿宋"/>
                <w:szCs w:val="21"/>
              </w:rPr>
            </w:pPr>
          </w:p>
        </w:tc>
        <w:tc>
          <w:tcPr>
            <w:tcW w:w="992" w:type="dxa"/>
            <w:vMerge w:val="continue"/>
          </w:tcPr>
          <w:p>
            <w:pPr>
              <w:spacing w:line="276"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0" w:type="dxa"/>
            <w:vMerge w:val="restart"/>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自建模型元件</w:t>
            </w:r>
          </w:p>
          <w:p>
            <w:pPr>
              <w:spacing w:line="276" w:lineRule="auto"/>
              <w:jc w:val="center"/>
              <w:rPr>
                <w:rFonts w:hint="eastAsia" w:ascii="仿宋" w:hAnsi="仿宋" w:eastAsia="仿宋" w:cs="仿宋"/>
                <w:szCs w:val="21"/>
              </w:rPr>
            </w:pPr>
            <w:r>
              <w:rPr>
                <w:rFonts w:hint="eastAsia" w:ascii="仿宋" w:hAnsi="仿宋" w:eastAsia="仿宋" w:cs="仿宋"/>
                <w:szCs w:val="21"/>
              </w:rPr>
              <w:t>（10分）</w:t>
            </w: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1、参赛队伍除使用标准库元件外，自建模型（元件）3个，并正确使用。</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6</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vMerge w:val="continue"/>
          </w:tcPr>
          <w:p>
            <w:pPr>
              <w:spacing w:line="276" w:lineRule="auto"/>
              <w:rPr>
                <w:rFonts w:hint="eastAsia" w:ascii="仿宋" w:hAnsi="仿宋" w:eastAsia="仿宋" w:cs="仿宋"/>
                <w:szCs w:val="21"/>
              </w:rPr>
            </w:pPr>
          </w:p>
        </w:tc>
        <w:tc>
          <w:tcPr>
            <w:tcW w:w="4252" w:type="dxa"/>
          </w:tcPr>
          <w:p>
            <w:pPr>
              <w:spacing w:line="276" w:lineRule="auto"/>
              <w:rPr>
                <w:rFonts w:hint="eastAsia" w:ascii="仿宋" w:hAnsi="仿宋" w:eastAsia="仿宋" w:cs="仿宋"/>
                <w:szCs w:val="21"/>
              </w:rPr>
            </w:pPr>
            <w:r>
              <w:rPr>
                <w:rFonts w:hint="eastAsia" w:ascii="仿宋" w:hAnsi="仿宋" w:eastAsia="仿宋" w:cs="仿宋"/>
                <w:szCs w:val="21"/>
              </w:rPr>
              <w:t>2、自建模型（元件）达到5个及以上，并能正确使用。</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4</w:t>
            </w:r>
          </w:p>
        </w:tc>
        <w:tc>
          <w:tcPr>
            <w:tcW w:w="992" w:type="dxa"/>
            <w:noWrap/>
          </w:tcPr>
          <w:p>
            <w:pPr>
              <w:spacing w:line="276" w:lineRule="auto"/>
              <w:rPr>
                <w:rFonts w:hint="eastAsia"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232" w:type="dxa"/>
            <w:gridSpan w:val="2"/>
          </w:tcPr>
          <w:p>
            <w:pPr>
              <w:widowControl/>
              <w:jc w:val="center"/>
              <w:rPr>
                <w:rFonts w:hint="eastAsia" w:ascii="仿宋" w:hAnsi="仿宋" w:eastAsia="仿宋" w:cs="仿宋"/>
                <w:szCs w:val="21"/>
              </w:rPr>
            </w:pPr>
            <w:r>
              <w:rPr>
                <w:rFonts w:hint="eastAsia" w:ascii="仿宋" w:hAnsi="仿宋" w:eastAsia="仿宋" w:cs="仿宋"/>
                <w:b/>
                <w:bCs/>
                <w:color w:val="000000"/>
                <w:kern w:val="0"/>
                <w:sz w:val="24"/>
                <w:szCs w:val="24"/>
              </w:rPr>
              <w:t>合  计</w:t>
            </w:r>
          </w:p>
        </w:tc>
        <w:tc>
          <w:tcPr>
            <w:tcW w:w="993" w:type="dxa"/>
            <w:noWrap/>
            <w:vAlign w:val="center"/>
          </w:tcPr>
          <w:p>
            <w:pPr>
              <w:spacing w:line="276" w:lineRule="auto"/>
              <w:jc w:val="center"/>
              <w:rPr>
                <w:rFonts w:hint="eastAsia" w:ascii="仿宋" w:hAnsi="仿宋" w:eastAsia="仿宋" w:cs="仿宋"/>
                <w:szCs w:val="21"/>
              </w:rPr>
            </w:pPr>
            <w:r>
              <w:rPr>
                <w:rFonts w:hint="eastAsia" w:ascii="仿宋" w:hAnsi="仿宋" w:eastAsia="仿宋" w:cs="仿宋"/>
                <w:szCs w:val="21"/>
              </w:rPr>
              <w:t>100</w:t>
            </w:r>
          </w:p>
        </w:tc>
        <w:tc>
          <w:tcPr>
            <w:tcW w:w="992" w:type="dxa"/>
            <w:noWrap/>
          </w:tcPr>
          <w:p>
            <w:pPr>
              <w:spacing w:line="276" w:lineRule="auto"/>
              <w:rPr>
                <w:rFonts w:hint="eastAsia" w:ascii="仿宋" w:hAnsi="仿宋" w:eastAsia="仿宋" w:cs="仿宋"/>
                <w:szCs w:val="21"/>
              </w:rPr>
            </w:pPr>
          </w:p>
        </w:tc>
      </w:tr>
    </w:tbl>
    <w:p>
      <w:pPr>
        <w:widowControl/>
        <w:spacing w:before="115" w:line="360" w:lineRule="auto"/>
        <w:jc w:val="left"/>
        <w:rPr>
          <w:rFonts w:hint="eastAsia" w:ascii="仿宋" w:hAnsi="仿宋" w:eastAsia="仿宋" w:cs="仿宋"/>
          <w:b/>
          <w:bCs/>
          <w:sz w:val="28"/>
          <w:szCs w:val="28"/>
        </w:rPr>
      </w:pPr>
    </w:p>
    <w:p>
      <w:pPr>
        <w:widowControl/>
        <w:spacing w:before="115" w:line="360" w:lineRule="auto"/>
        <w:jc w:val="left"/>
        <w:rPr>
          <w:rFonts w:hint="eastAsia" w:ascii="仿宋" w:hAnsi="仿宋" w:eastAsia="仿宋" w:cs="仿宋"/>
          <w:b/>
          <w:bCs/>
          <w:sz w:val="28"/>
          <w:szCs w:val="28"/>
        </w:rPr>
      </w:pPr>
      <w:r>
        <w:rPr>
          <w:rFonts w:hint="eastAsia" w:ascii="仿宋" w:hAnsi="仿宋" w:eastAsia="仿宋" w:cs="仿宋"/>
          <w:b/>
          <w:bCs/>
          <w:sz w:val="28"/>
          <w:szCs w:val="28"/>
        </w:rPr>
        <w:t>3.</w:t>
      </w:r>
      <w:r>
        <w:rPr>
          <w:rFonts w:hint="eastAsia" w:ascii="仿宋" w:hAnsi="仿宋" w:eastAsia="仿宋" w:cs="仿宋"/>
        </w:rPr>
        <w:t xml:space="preserve"> </w:t>
      </w:r>
      <w:r>
        <w:rPr>
          <w:rFonts w:hint="eastAsia" w:ascii="仿宋" w:hAnsi="仿宋" w:eastAsia="仿宋" w:cs="仿宋"/>
          <w:b/>
          <w:bCs/>
          <w:sz w:val="28"/>
          <w:szCs w:val="28"/>
        </w:rPr>
        <w:t>实践教学方案设计与组织实施（10%）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生产线的安装与调试和数字化设计3D虚拟仿真的内容，设计项目化实践教学方案，主要包含基本信息（课程名称、课程性质、授课对象、前后续课程）、教学手段、教学方法、教学内容、组织形式、教学资源、评价方法、学习效果分析与总结等。本部分占总分的10%，评审内容如表3所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表3、实践教学方案设计与组织实施评分表</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961"/>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pPr>
              <w:spacing w:line="360" w:lineRule="auto"/>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评分项目</w:t>
            </w:r>
          </w:p>
        </w:tc>
        <w:tc>
          <w:tcPr>
            <w:tcW w:w="4961" w:type="dxa"/>
            <w:noWrap/>
          </w:tcPr>
          <w:p>
            <w:pPr>
              <w:spacing w:line="360" w:lineRule="auto"/>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评分内容</w:t>
            </w:r>
          </w:p>
        </w:tc>
        <w:tc>
          <w:tcPr>
            <w:tcW w:w="992" w:type="dxa"/>
            <w:noWrap/>
          </w:tcPr>
          <w:p>
            <w:pPr>
              <w:spacing w:line="360" w:lineRule="auto"/>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配分</w:t>
            </w:r>
          </w:p>
        </w:tc>
        <w:tc>
          <w:tcPr>
            <w:tcW w:w="851" w:type="dxa"/>
            <w:noWrap/>
          </w:tcPr>
          <w:p>
            <w:pPr>
              <w:spacing w:line="360" w:lineRule="auto"/>
              <w:jc w:val="center"/>
              <w:rPr>
                <w:rFonts w:hint="eastAsia" w:ascii="仿宋" w:hAnsi="仿宋" w:eastAsia="仿宋" w:cs="仿宋"/>
                <w:b/>
                <w:bCs/>
                <w:kern w:val="0"/>
                <w:sz w:val="20"/>
                <w:szCs w:val="21"/>
              </w:rPr>
            </w:pPr>
            <w:r>
              <w:rPr>
                <w:rFonts w:hint="eastAsia" w:ascii="仿宋" w:hAnsi="仿宋" w:eastAsia="仿宋" w:cs="仿宋"/>
                <w:b/>
                <w:bCs/>
                <w:kern w:val="0"/>
                <w:sz w:val="2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方案设计（40分）</w:t>
            </w: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1、课程信息：课程名称、课程性质、授课对象、前后续课程阐述清晰。</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851" w:type="dxa"/>
            <w:noWrap/>
          </w:tcPr>
          <w:p>
            <w:pPr>
              <w:spacing w:line="360" w:lineRule="auto"/>
              <w:rPr>
                <w:rFonts w:hint="eastAsia" w:ascii="仿宋" w:hAnsi="仿宋" w:eastAsia="仿宋" w:cs="仿宋"/>
                <w:kern w:val="0"/>
                <w:sz w:val="20"/>
                <w:szCs w:val="21"/>
              </w:rPr>
            </w:pPr>
            <w:r>
              <w:rPr>
                <w:rFonts w:hint="eastAsia" w:ascii="仿宋" w:hAnsi="仿宋" w:eastAsia="仿宋" w:cs="仿宋"/>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2、总体方案：符合新工科专业改革总体要求，产教融合、科教融汇，协同育人；有层次、有梯度，充分体现“两性一度”。</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r>
              <w:rPr>
                <w:rFonts w:hint="eastAsia" w:ascii="仿宋" w:hAnsi="仿宋" w:eastAsia="仿宋" w:cs="仿宋"/>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3、教学内容：能充分贴合综合应用和数字化设计与仿真及课程思政的要素等，重点突出，重点、难点、关键点清晰，条理清楚。</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851" w:type="dxa"/>
            <w:noWrap/>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4、教学设计：教学方法新颖，教学计划合理，教学资源丰富；有创新、有特色，可操作性强。</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组织实施</w:t>
            </w:r>
          </w:p>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（30分）</w:t>
            </w: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1、教学组织：定位准确，能体现课程改革要素，体现以学生为中心。</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r>
              <w:rPr>
                <w:rFonts w:hint="eastAsia" w:ascii="仿宋" w:hAnsi="仿宋" w:eastAsia="仿宋" w:cs="仿宋"/>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2、教学安排：教学安排合理，符合卓越工程师或现场工程师人才培养规律。</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3、教学评价：评价指标科学，评价形式多维，且易实现可操作。</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r>
              <w:rPr>
                <w:rFonts w:hint="eastAsia" w:ascii="仿宋" w:hAnsi="仿宋" w:eastAsia="仿宋" w:cs="仿宋"/>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vMerge w:val="restart"/>
            <w:vAlign w:val="center"/>
          </w:tcPr>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效果分析</w:t>
            </w:r>
          </w:p>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（20分）</w:t>
            </w: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1、教师水平：客观分析方案设计、知识教学、技能训练等实际效果与目标的达成度。</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r>
              <w:rPr>
                <w:rFonts w:hint="eastAsia" w:ascii="仿宋" w:hAnsi="仿宋" w:eastAsia="仿宋" w:cs="仿宋"/>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vMerge w:val="continue"/>
            <w:vAlign w:val="center"/>
          </w:tcPr>
          <w:p>
            <w:pPr>
              <w:spacing w:line="360" w:lineRule="auto"/>
              <w:jc w:val="center"/>
              <w:rPr>
                <w:rFonts w:hint="eastAsia" w:ascii="仿宋" w:hAnsi="仿宋" w:eastAsia="仿宋" w:cs="仿宋"/>
                <w:kern w:val="0"/>
                <w:sz w:val="21"/>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2、学习效果：客观评价“学生”完成项目情况，准确分析“学与做”中存在问题。</w:t>
            </w:r>
          </w:p>
        </w:tc>
        <w:tc>
          <w:tcPr>
            <w:tcW w:w="992" w:type="dxa"/>
            <w:noWrap/>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51" w:type="dxa"/>
            <w:noWrap/>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restart"/>
            <w:vAlign w:val="center"/>
          </w:tcPr>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总结要点</w:t>
            </w:r>
          </w:p>
          <w:p>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（10分）</w:t>
            </w: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 xml:space="preserve">1、总结教与学过程中的经验与不足； </w:t>
            </w:r>
          </w:p>
        </w:tc>
        <w:tc>
          <w:tcPr>
            <w:tcW w:w="992"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851" w:type="dxa"/>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3" w:type="dxa"/>
            <w:vMerge w:val="continue"/>
            <w:vAlign w:val="center"/>
          </w:tcPr>
          <w:p>
            <w:pPr>
              <w:spacing w:line="360" w:lineRule="auto"/>
              <w:jc w:val="center"/>
              <w:rPr>
                <w:rFonts w:hint="eastAsia" w:ascii="仿宋" w:hAnsi="仿宋" w:eastAsia="仿宋" w:cs="仿宋"/>
                <w:kern w:val="0"/>
                <w:sz w:val="20"/>
                <w:szCs w:val="21"/>
              </w:rPr>
            </w:pPr>
          </w:p>
        </w:tc>
        <w:tc>
          <w:tcPr>
            <w:tcW w:w="4961" w:type="dxa"/>
            <w:vAlign w:val="center"/>
          </w:tcPr>
          <w:p>
            <w:pPr>
              <w:spacing w:line="276" w:lineRule="auto"/>
              <w:rPr>
                <w:rFonts w:hint="eastAsia" w:ascii="仿宋" w:hAnsi="仿宋" w:eastAsia="仿宋" w:cs="仿宋"/>
                <w:kern w:val="0"/>
                <w:sz w:val="21"/>
                <w:szCs w:val="21"/>
              </w:rPr>
            </w:pPr>
            <w:r>
              <w:rPr>
                <w:rFonts w:hint="eastAsia" w:ascii="仿宋" w:hAnsi="仿宋" w:eastAsia="仿宋" w:cs="仿宋"/>
                <w:kern w:val="0"/>
                <w:sz w:val="21"/>
                <w:szCs w:val="21"/>
              </w:rPr>
              <w:t>2、改进措施和方法</w:t>
            </w:r>
          </w:p>
        </w:tc>
        <w:tc>
          <w:tcPr>
            <w:tcW w:w="992"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851" w:type="dxa"/>
          </w:tcPr>
          <w:p>
            <w:pPr>
              <w:spacing w:line="360" w:lineRule="auto"/>
              <w:rPr>
                <w:rFonts w:hint="eastAsia" w:ascii="仿宋" w:hAnsi="仿宋" w:eastAsia="仿宋" w:cs="仿宋"/>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74" w:type="dxa"/>
            <w:gridSpan w:val="2"/>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合  计</w:t>
            </w:r>
          </w:p>
        </w:tc>
        <w:tc>
          <w:tcPr>
            <w:tcW w:w="992" w:type="dxa"/>
            <w:noWrap/>
            <w:vAlign w:val="center"/>
          </w:tcPr>
          <w:p>
            <w:pPr>
              <w:jc w:val="center"/>
              <w:rPr>
                <w:rFonts w:hint="eastAsia" w:ascii="仿宋" w:hAnsi="仿宋" w:eastAsia="仿宋" w:cs="仿宋"/>
                <w:kern w:val="0"/>
                <w:sz w:val="20"/>
                <w:szCs w:val="21"/>
              </w:rPr>
            </w:pPr>
            <w:r>
              <w:rPr>
                <w:rFonts w:hint="eastAsia" w:ascii="仿宋" w:hAnsi="仿宋" w:eastAsia="仿宋" w:cs="仿宋"/>
                <w:kern w:val="0"/>
                <w:sz w:val="20"/>
                <w:szCs w:val="21"/>
              </w:rPr>
              <w:t>100</w:t>
            </w:r>
          </w:p>
        </w:tc>
        <w:tc>
          <w:tcPr>
            <w:tcW w:w="851" w:type="dxa"/>
            <w:noWrap/>
          </w:tcPr>
          <w:p>
            <w:pPr>
              <w:spacing w:line="360" w:lineRule="auto"/>
              <w:rPr>
                <w:rFonts w:hint="eastAsia" w:ascii="仿宋" w:hAnsi="仿宋" w:eastAsia="仿宋" w:cs="仿宋"/>
                <w:kern w:val="0"/>
                <w:sz w:val="20"/>
                <w:szCs w:val="21"/>
              </w:rPr>
            </w:pPr>
          </w:p>
        </w:tc>
      </w:tr>
    </w:tbl>
    <w:p>
      <w:pPr>
        <w:widowControl/>
        <w:spacing w:before="115" w:line="360" w:lineRule="auto"/>
        <w:jc w:val="left"/>
        <w:rPr>
          <w:rFonts w:hint="eastAsia" w:ascii="仿宋" w:hAnsi="仿宋" w:eastAsia="仿宋" w:cs="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jYWNhY2VlZDA4YjMwMTkwZGIyNjZjYzc0ZDgzYWMifQ=="/>
  </w:docVars>
  <w:rsids>
    <w:rsidRoot w:val="00462134"/>
    <w:rsid w:val="00005B7A"/>
    <w:rsid w:val="000254E0"/>
    <w:rsid w:val="00034D77"/>
    <w:rsid w:val="000375AF"/>
    <w:rsid w:val="0004340A"/>
    <w:rsid w:val="000509F4"/>
    <w:rsid w:val="000550C5"/>
    <w:rsid w:val="0006268E"/>
    <w:rsid w:val="000B0D55"/>
    <w:rsid w:val="000C778B"/>
    <w:rsid w:val="000E2B29"/>
    <w:rsid w:val="000F1ECC"/>
    <w:rsid w:val="00110989"/>
    <w:rsid w:val="0014106A"/>
    <w:rsid w:val="0014732E"/>
    <w:rsid w:val="00152026"/>
    <w:rsid w:val="0015390C"/>
    <w:rsid w:val="0015544A"/>
    <w:rsid w:val="00156140"/>
    <w:rsid w:val="00193DAF"/>
    <w:rsid w:val="00195438"/>
    <w:rsid w:val="001A189F"/>
    <w:rsid w:val="001A7E06"/>
    <w:rsid w:val="001B2B2B"/>
    <w:rsid w:val="001E0A8E"/>
    <w:rsid w:val="00214425"/>
    <w:rsid w:val="0028103C"/>
    <w:rsid w:val="00286F8B"/>
    <w:rsid w:val="00292F54"/>
    <w:rsid w:val="002A5A91"/>
    <w:rsid w:val="002D31F2"/>
    <w:rsid w:val="002E2921"/>
    <w:rsid w:val="0031595F"/>
    <w:rsid w:val="003A24E5"/>
    <w:rsid w:val="003A78EE"/>
    <w:rsid w:val="003D5681"/>
    <w:rsid w:val="003E07C9"/>
    <w:rsid w:val="003E302C"/>
    <w:rsid w:val="00403173"/>
    <w:rsid w:val="004062A9"/>
    <w:rsid w:val="004142BC"/>
    <w:rsid w:val="00415D0B"/>
    <w:rsid w:val="0043362F"/>
    <w:rsid w:val="00462134"/>
    <w:rsid w:val="00480699"/>
    <w:rsid w:val="00490102"/>
    <w:rsid w:val="004E66D3"/>
    <w:rsid w:val="004F1D66"/>
    <w:rsid w:val="00504019"/>
    <w:rsid w:val="0050547A"/>
    <w:rsid w:val="00525268"/>
    <w:rsid w:val="00530888"/>
    <w:rsid w:val="00560277"/>
    <w:rsid w:val="00586E38"/>
    <w:rsid w:val="00590130"/>
    <w:rsid w:val="005D52D9"/>
    <w:rsid w:val="005E53EC"/>
    <w:rsid w:val="00600210"/>
    <w:rsid w:val="00605CA4"/>
    <w:rsid w:val="00616F62"/>
    <w:rsid w:val="00627C0D"/>
    <w:rsid w:val="00647460"/>
    <w:rsid w:val="006550B3"/>
    <w:rsid w:val="00666F8D"/>
    <w:rsid w:val="00682110"/>
    <w:rsid w:val="00694019"/>
    <w:rsid w:val="006F141F"/>
    <w:rsid w:val="006F6EF2"/>
    <w:rsid w:val="006F71F3"/>
    <w:rsid w:val="00700F5D"/>
    <w:rsid w:val="007068BC"/>
    <w:rsid w:val="00707105"/>
    <w:rsid w:val="00743160"/>
    <w:rsid w:val="0078539E"/>
    <w:rsid w:val="007936FC"/>
    <w:rsid w:val="007A21FD"/>
    <w:rsid w:val="007B06AB"/>
    <w:rsid w:val="007B282F"/>
    <w:rsid w:val="007D16B9"/>
    <w:rsid w:val="00823FF5"/>
    <w:rsid w:val="008369E6"/>
    <w:rsid w:val="008657A5"/>
    <w:rsid w:val="00866774"/>
    <w:rsid w:val="008770A6"/>
    <w:rsid w:val="008D7E7E"/>
    <w:rsid w:val="008E136C"/>
    <w:rsid w:val="009006B0"/>
    <w:rsid w:val="00904E05"/>
    <w:rsid w:val="009261D9"/>
    <w:rsid w:val="009641F7"/>
    <w:rsid w:val="00972822"/>
    <w:rsid w:val="00977D76"/>
    <w:rsid w:val="00980B14"/>
    <w:rsid w:val="00992FE9"/>
    <w:rsid w:val="009A480A"/>
    <w:rsid w:val="009C64E6"/>
    <w:rsid w:val="009E41CF"/>
    <w:rsid w:val="009F5A6F"/>
    <w:rsid w:val="00A2694A"/>
    <w:rsid w:val="00A6709D"/>
    <w:rsid w:val="00A83CFC"/>
    <w:rsid w:val="00A874EB"/>
    <w:rsid w:val="00AC0D0A"/>
    <w:rsid w:val="00AD11EA"/>
    <w:rsid w:val="00AD6283"/>
    <w:rsid w:val="00AE760D"/>
    <w:rsid w:val="00AF005A"/>
    <w:rsid w:val="00AF73C4"/>
    <w:rsid w:val="00B04FD2"/>
    <w:rsid w:val="00B11509"/>
    <w:rsid w:val="00B236FC"/>
    <w:rsid w:val="00B23F5D"/>
    <w:rsid w:val="00B304FA"/>
    <w:rsid w:val="00B62A93"/>
    <w:rsid w:val="00B83BC8"/>
    <w:rsid w:val="00B906BC"/>
    <w:rsid w:val="00B91EB5"/>
    <w:rsid w:val="00B9651A"/>
    <w:rsid w:val="00BC0CC0"/>
    <w:rsid w:val="00BC3E63"/>
    <w:rsid w:val="00C35ED9"/>
    <w:rsid w:val="00C407A5"/>
    <w:rsid w:val="00C44ABE"/>
    <w:rsid w:val="00C55E1F"/>
    <w:rsid w:val="00C710BD"/>
    <w:rsid w:val="00C86B61"/>
    <w:rsid w:val="00CB1336"/>
    <w:rsid w:val="00CD76CA"/>
    <w:rsid w:val="00D12589"/>
    <w:rsid w:val="00D728B9"/>
    <w:rsid w:val="00D77720"/>
    <w:rsid w:val="00D8429C"/>
    <w:rsid w:val="00DD7D66"/>
    <w:rsid w:val="00E15E07"/>
    <w:rsid w:val="00E43FB6"/>
    <w:rsid w:val="00E47730"/>
    <w:rsid w:val="00E54197"/>
    <w:rsid w:val="00E6658C"/>
    <w:rsid w:val="00E92822"/>
    <w:rsid w:val="00E93A54"/>
    <w:rsid w:val="00EB4973"/>
    <w:rsid w:val="00ED30A2"/>
    <w:rsid w:val="00F07B08"/>
    <w:rsid w:val="00F1563E"/>
    <w:rsid w:val="00F41502"/>
    <w:rsid w:val="00F5739B"/>
    <w:rsid w:val="00F77A74"/>
    <w:rsid w:val="00FA363D"/>
    <w:rsid w:val="00FC6D81"/>
    <w:rsid w:val="00FC74A4"/>
    <w:rsid w:val="00FE1A11"/>
    <w:rsid w:val="00FF7EDB"/>
    <w:rsid w:val="5BFB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文字 Char"/>
    <w:basedOn w:val="7"/>
    <w:link w:val="2"/>
    <w:semiHidden/>
    <w:uiPriority w:val="99"/>
  </w:style>
  <w:style w:type="table" w:customStyle="1" w:styleId="12">
    <w:name w:val="网格型1"/>
    <w:basedOn w:val="5"/>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2"/>
    <w:basedOn w:val="5"/>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3001</Words>
  <Characters>3077</Characters>
  <Lines>24</Lines>
  <Paragraphs>6</Paragraphs>
  <TotalTime>249</TotalTime>
  <ScaleCrop>false</ScaleCrop>
  <LinksUpToDate>false</LinksUpToDate>
  <CharactersWithSpaces>3111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2023-06-24T03:12:00Z</dcterms:created>
  <dc:creator>殷埝生</dc:creator>
  <cp:lastModifiedBy>远渡</cp:lastModifiedBy>
  <dcterms:modified xsi:type="dcterms:W3CDTF">2023-06-27T00:46:54Z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3CE35B909E9845FBB6B199D3BC8FCCC9_12</vt:lpwstr>
  </property>
</Properties>
</file>