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both"/>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附件3</w:t>
      </w:r>
    </w:p>
    <w:p>
      <w:pPr>
        <w:spacing w:line="276" w:lineRule="auto"/>
        <w:jc w:val="left"/>
        <w:rPr>
          <w:rFonts w:hint="eastAsia" w:ascii="宋体" w:hAnsi="宋体" w:eastAsia="宋体" w:cs="宋体"/>
          <w:b/>
          <w:color w:val="auto"/>
          <w:sz w:val="44"/>
          <w:szCs w:val="44"/>
        </w:rPr>
      </w:pPr>
    </w:p>
    <w:p>
      <w:pPr>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第二届全国高校电气类专业</w:t>
      </w:r>
    </w:p>
    <w:p>
      <w:pPr>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青年教师实践教学设计创新大赛</w:t>
      </w:r>
    </w:p>
    <w:p>
      <w:pPr>
        <w:spacing w:line="276" w:lineRule="auto"/>
        <w:jc w:val="center"/>
        <w:rPr>
          <w:rFonts w:hint="eastAsia" w:ascii="宋体" w:hAnsi="宋体" w:eastAsia="宋体" w:cs="宋体"/>
          <w:b/>
          <w:color w:val="auto"/>
          <w:sz w:val="44"/>
          <w:szCs w:val="44"/>
        </w:rPr>
      </w:pPr>
      <w:bookmarkStart w:id="3" w:name="_GoBack"/>
      <w:bookmarkEnd w:id="3"/>
      <w:r>
        <w:rPr>
          <w:rFonts w:hint="eastAsia" w:ascii="宋体" w:hAnsi="宋体" w:eastAsia="宋体" w:cs="宋体"/>
          <w:b/>
          <w:color w:val="auto"/>
          <w:sz w:val="44"/>
          <w:szCs w:val="44"/>
        </w:rPr>
        <w:t>电工电气基础技能竞赛规程</w:t>
      </w:r>
    </w:p>
    <w:p>
      <w:pPr>
        <w:spacing w:line="276" w:lineRule="auto"/>
        <w:jc w:val="center"/>
        <w:rPr>
          <w:rFonts w:hint="eastAsia" w:ascii="宋体" w:hAnsi="宋体" w:eastAsia="宋体" w:cs="宋体"/>
          <w:b/>
          <w:color w:val="auto"/>
          <w:sz w:val="44"/>
          <w:szCs w:val="44"/>
        </w:rPr>
      </w:pPr>
    </w:p>
    <w:p>
      <w:pPr>
        <w:spacing w:line="360" w:lineRule="auto"/>
        <w:rPr>
          <w:rFonts w:hint="eastAsia" w:ascii="仿宋" w:hAnsi="仿宋" w:eastAsia="仿宋" w:cs="仿宋"/>
          <w:b/>
          <w:sz w:val="28"/>
          <w:szCs w:val="28"/>
        </w:rPr>
      </w:pPr>
      <w:r>
        <w:rPr>
          <w:rFonts w:hint="eastAsia" w:ascii="仿宋" w:hAnsi="仿宋" w:eastAsia="仿宋" w:cs="仿宋"/>
          <w:b/>
          <w:sz w:val="28"/>
          <w:szCs w:val="28"/>
        </w:rPr>
        <w:t>一、</w:t>
      </w:r>
      <w:bookmarkStart w:id="0" w:name="_Hlk3382872"/>
      <w:r>
        <w:rPr>
          <w:rFonts w:hint="eastAsia" w:ascii="仿宋" w:hAnsi="仿宋" w:eastAsia="仿宋" w:cs="仿宋"/>
          <w:b/>
          <w:sz w:val="28"/>
          <w:szCs w:val="28"/>
        </w:rPr>
        <w:t>竞赛目的</w:t>
      </w:r>
      <w:bookmarkEnd w:id="0"/>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电工电气基础技能竞赛赛项主要为电气类、自动化类、信息类、机电类等专业基础课程实践教学而设置的师生同台竞赛项目。电工电气基础技能竞赛使用统一的竞赛平台。参赛团队须在规定时间内，完成含电工电子、供配电与电机控制、以及电气控制系统装置的安装调试和功能实现等相关任务。目的是促进各院校工科专业基础课程实践教学改革与创新，检验参赛选手的基本技能、动手能力和新技术应用能力等。</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二、参赛对象</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1.参赛对象</w:t>
      </w:r>
    </w:p>
    <w:p>
      <w:pPr>
        <w:pStyle w:val="3"/>
        <w:widowControl/>
        <w:spacing w:line="405" w:lineRule="atLeast"/>
        <w:ind w:firstLine="420" w:firstLineChars="150"/>
        <w:rPr>
          <w:rFonts w:hint="eastAsia" w:ascii="仿宋" w:hAnsi="仿宋" w:eastAsia="仿宋" w:cs="仿宋"/>
          <w:b/>
          <w:bCs/>
          <w:color w:val="000000" w:themeColor="text1"/>
          <w:sz w:val="32"/>
          <w:szCs w:val="32"/>
        </w:rPr>
      </w:pPr>
      <w:r>
        <w:rPr>
          <w:rFonts w:hint="eastAsia" w:ascii="仿宋" w:hAnsi="仿宋" w:eastAsia="仿宋" w:cs="仿宋"/>
          <w:sz w:val="28"/>
          <w:szCs w:val="28"/>
        </w:rPr>
        <w:t>全国高等院校电气类、自动化类、信息类、机电类等专业基础课程教学的青年教师与在校学生。年龄在45周岁以下(含45岁)。</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2.参赛要求</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（1）技能竞赛为团体赛项，不跨校组队。参赛选手须为各校在职教师与在编学生；</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（2）技能竞赛为1名教师与2名学生组成一组；</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 各校报名组队不限专业、不限队数。</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三、竞赛要求</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1.竞赛内容</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（1）电工电子产品线路板元器件焊接组装和系统调试；</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（2）供配电与电机控制的设计安装布线和调试；</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（3）电气控制系统的设计安装和调试；</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（4）常用电工电子工具使用及仪器仪表测量等；</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（5）实践教学方案设计、数字软件应用和技术文件撰写；</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（6）职业素养。</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2.竞赛要求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技能竞赛参赛团队，须在指定的竞赛设备平台上和规定时间内完成竞赛任务书相关内容要求；</w:t>
      </w:r>
    </w:p>
    <w:p>
      <w:pPr>
        <w:pStyle w:val="13"/>
        <w:numPr>
          <w:ilvl w:val="0"/>
          <w:numId w:val="1"/>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电工电子、供配电与电机控制硬件的安装调试；</w:t>
      </w:r>
    </w:p>
    <w:p>
      <w:pPr>
        <w:pStyle w:val="13"/>
        <w:numPr>
          <w:ilvl w:val="0"/>
          <w:numId w:val="1"/>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电气控制系统的设计安装和调试；</w:t>
      </w:r>
    </w:p>
    <w:p>
      <w:pPr>
        <w:pStyle w:val="13"/>
        <w:numPr>
          <w:ilvl w:val="0"/>
          <w:numId w:val="1"/>
        </w:numPr>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数字软件应用与技术文件报告撰写。</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3.竞赛平台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技能竞赛设备平台是由技术支持单位提供。该竞赛平台集成了竞赛要求的内容，详细信息以竞赛网站公布的信息为准。其中电气控制系统部分竞赛硬件平台的架构示意图如下图1所示。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4704715" cy="2395855"/>
            <wp:effectExtent l="19050" t="0" r="435" b="0"/>
            <wp:docPr id="1" name="图片 1" descr="c6381bc44785bb9aa9af20892a24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381bc44785bb9aa9af20892a242cb"/>
                    <pic:cNvPicPr>
                      <a:picLocks noChangeAspect="1"/>
                    </pic:cNvPicPr>
                  </pic:nvPicPr>
                  <pic:blipFill>
                    <a:blip r:embed="rId4" cstate="print"/>
                    <a:stretch>
                      <a:fillRect/>
                    </a:stretch>
                  </pic:blipFill>
                  <pic:spPr>
                    <a:xfrm>
                      <a:off x="0" y="0"/>
                      <a:ext cx="4720554" cy="2403985"/>
                    </a:xfrm>
                    <a:prstGeom prst="rect">
                      <a:avLst/>
                    </a:prstGeom>
                  </pic:spPr>
                </pic:pic>
              </a:graphicData>
            </a:graphic>
          </wp:inline>
        </w:drawing>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图1  电工电气基础技能竞赛--电气控制系统竞赛硬件平台的架构示意图</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图1所示电气控制系统竞赛硬件平台示意图，它是以微电网为应用背景，参赛竞赛要求选手按照任务要求焊接逆变器、搭建硬件平台（含安装、接线）、编写PLC程序、设计HMI人机界面、组建网络，并完成系统联调联试。</w:t>
      </w:r>
    </w:p>
    <w:p>
      <w:pPr>
        <w:pStyle w:val="2"/>
        <w:keepNext w:val="0"/>
        <w:keepLines w:val="0"/>
        <w:spacing w:before="156"/>
        <w:rPr>
          <w:rFonts w:hint="eastAsia" w:ascii="仿宋" w:hAnsi="仿宋" w:eastAsia="仿宋" w:cs="仿宋"/>
          <w:bCs w:val="0"/>
          <w:szCs w:val="28"/>
        </w:rPr>
      </w:pPr>
      <w:r>
        <w:rPr>
          <w:rFonts w:hint="eastAsia" w:ascii="仿宋" w:hAnsi="仿宋" w:eastAsia="仿宋" w:cs="仿宋"/>
          <w:bCs w:val="0"/>
          <w:szCs w:val="28"/>
        </w:rPr>
        <w:t>四、竞赛流程</w:t>
      </w:r>
    </w:p>
    <w:p>
      <w:pPr>
        <w:pStyle w:val="2"/>
        <w:keepNext w:val="0"/>
        <w:keepLines w:val="0"/>
        <w:spacing w:before="156"/>
        <w:rPr>
          <w:rFonts w:hint="eastAsia" w:ascii="仿宋" w:hAnsi="仿宋" w:eastAsia="仿宋" w:cs="仿宋"/>
          <w:bCs w:val="0"/>
          <w:szCs w:val="28"/>
        </w:rPr>
      </w:pPr>
      <w:r>
        <w:rPr>
          <w:rFonts w:hint="eastAsia" w:ascii="仿宋" w:hAnsi="仿宋" w:eastAsia="仿宋" w:cs="仿宋"/>
          <w:szCs w:val="28"/>
        </w:rPr>
        <w:t>1.竞赛报名</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竞赛通知发布后，各院校参赛者组建竞赛团队，在竞赛报名系统里选择 “技能竞赛”竞赛种类，填写竞赛报名的相关信息，在规定时间内提交。参赛选手须为各校在职人员与在校学生，团队人数为3人一组（其中教师1名、学生2名）。报名截止日期以竞赛通知为准。</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2.初赛安排</w:t>
      </w:r>
    </w:p>
    <w:p>
      <w:pPr>
        <w:spacing w:line="360" w:lineRule="auto"/>
        <w:ind w:firstLine="280" w:firstLineChars="100"/>
        <w:rPr>
          <w:rFonts w:hint="eastAsia" w:ascii="仿宋" w:hAnsi="仿宋" w:eastAsia="仿宋" w:cs="仿宋"/>
          <w:b/>
          <w:bCs/>
          <w:sz w:val="28"/>
          <w:szCs w:val="28"/>
        </w:rPr>
      </w:pPr>
      <w:r>
        <w:rPr>
          <w:rFonts w:hint="eastAsia" w:ascii="仿宋" w:hAnsi="仿宋" w:eastAsia="仿宋" w:cs="仿宋"/>
          <w:sz w:val="28"/>
          <w:szCs w:val="28"/>
        </w:rPr>
        <w:t>（1）初赛时间：2023年10月，线上进行。</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（2）初赛内容：针对竞赛平台项目，设计实践教学方案，提交具体报告，讲解时采用PPT，时间不超过8分钟。</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（3）初赛评审：专家对选手提交的方案进行评审和答辩，评审结果在竞赛网站公布。初赛成绩不计入决赛。</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3.培训安排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为了帮助参赛选手熟悉竞赛平台，除在竞赛网站发布相关学习资料，还将在7-10月组织相关会议或培训，具体通知请关注竞赛网站。 </w:t>
      </w:r>
    </w:p>
    <w:p>
      <w:pPr>
        <w:spacing w:line="360" w:lineRule="auto"/>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决赛安排</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决赛时间拟定在11月举行，具体以通知为准。</w:t>
      </w:r>
    </w:p>
    <w:p>
      <w:pPr>
        <w:spacing w:line="360" w:lineRule="auto"/>
        <w:rPr>
          <w:rFonts w:hint="eastAsia"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竞赛流程</w:t>
      </w:r>
    </w:p>
    <w:p>
      <w:pPr>
        <w:ind w:firstLine="560" w:firstLineChars="200"/>
        <w:rPr>
          <w:rFonts w:hint="eastAsia" w:ascii="仿宋" w:hAnsi="仿宋" w:eastAsia="仿宋" w:cs="仿宋"/>
        </w:rPr>
      </w:pPr>
      <w:r>
        <w:rPr>
          <w:rFonts w:hint="eastAsia" w:ascii="仿宋" w:hAnsi="仿宋" w:eastAsia="仿宋" w:cs="仿宋"/>
          <w:sz w:val="28"/>
          <w:szCs w:val="28"/>
        </w:rPr>
        <w:t>电工电气基础技能竞赛赛项决赛流程如图2所示。</w:t>
      </w:r>
    </w:p>
    <w:p>
      <w:pPr>
        <w:ind w:firstLine="480"/>
        <w:jc w:val="center"/>
        <w:rPr>
          <w:rFonts w:hint="eastAsia" w:ascii="仿宋" w:hAnsi="仿宋" w:eastAsia="仿宋" w:cs="仿宋"/>
        </w:rPr>
      </w:pPr>
      <w:r>
        <w:rPr>
          <w:rFonts w:hint="eastAsia" w:ascii="仿宋" w:hAnsi="仿宋" w:eastAsia="仿宋" w:cs="仿宋"/>
        </w:rPr>
        <w:object>
          <v:shape id="_x0000_i1025" o:spt="75" type="#_x0000_t75" style="height:385.4pt;width:267.6pt;" o:ole="t" filled="f" o:preferrelative="t" stroked="f" coordsize="21600,21600">
            <v:path/>
            <v:fill on="f" focussize="0,0"/>
            <v:stroke on="f" joinstyle="miter"/>
            <v:imagedata r:id="rId6" croptop="1438f" cropbottom="20151f" o:title=""/>
            <o:lock v:ext="edit" aspectratio="f"/>
            <w10:wrap type="none"/>
            <w10:anchorlock/>
          </v:shape>
          <o:OLEObject Type="Embed" ProgID="Visio.Drawing.11" ShapeID="_x0000_i1025" DrawAspect="Content" ObjectID="_1468075725" r:id="rId5">
            <o:LockedField>false</o:LockedField>
          </o:OLEObject>
        </w:object>
      </w:r>
    </w:p>
    <w:p>
      <w:pPr>
        <w:ind w:firstLine="480"/>
        <w:jc w:val="center"/>
        <w:rPr>
          <w:rFonts w:hint="eastAsia" w:ascii="仿宋" w:hAnsi="仿宋" w:eastAsia="仿宋" w:cs="仿宋"/>
        </w:rPr>
      </w:pPr>
    </w:p>
    <w:p>
      <w:pPr>
        <w:ind w:firstLine="480"/>
        <w:jc w:val="center"/>
        <w:rPr>
          <w:rFonts w:hint="eastAsia" w:ascii="仿宋" w:hAnsi="仿宋" w:eastAsia="仿宋" w:cs="仿宋"/>
          <w:sz w:val="24"/>
          <w:szCs w:val="24"/>
        </w:rPr>
      </w:pPr>
      <w:r>
        <w:rPr>
          <w:rFonts w:hint="eastAsia" w:ascii="仿宋" w:hAnsi="仿宋" w:eastAsia="仿宋" w:cs="仿宋"/>
          <w:sz w:val="24"/>
          <w:szCs w:val="24"/>
        </w:rPr>
        <w:t>图2 电工电气基础技能竞赛赛项决赛流程</w:t>
      </w:r>
    </w:p>
    <w:p>
      <w:pPr>
        <w:ind w:firstLine="480"/>
        <w:jc w:val="center"/>
        <w:rPr>
          <w:rFonts w:hint="eastAsia" w:ascii="仿宋" w:hAnsi="仿宋" w:eastAsia="仿宋" w:cs="仿宋"/>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五、评审标准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工电气基础技能竞赛主要包括常用电工电子工具、软件及仪器仪表使用，电子线路板元器件焊接组装和系统调试，供配电与电机控制的设计安装布线和调试，电气控制系统的设计安装和调试以及相关技术文件的完成。 </w:t>
      </w:r>
    </w:p>
    <w:p>
      <w:pPr>
        <w:widowControl/>
        <w:spacing w:before="115" w:line="360" w:lineRule="auto"/>
        <w:jc w:val="left"/>
        <w:rPr>
          <w:rFonts w:hint="eastAsia" w:ascii="仿宋" w:hAnsi="仿宋" w:eastAsia="仿宋" w:cs="仿宋"/>
          <w:b/>
          <w:bCs/>
          <w:sz w:val="28"/>
          <w:szCs w:val="28"/>
        </w:rPr>
      </w:pPr>
      <w:r>
        <w:rPr>
          <w:rFonts w:hint="eastAsia" w:ascii="仿宋" w:hAnsi="仿宋" w:eastAsia="仿宋" w:cs="仿宋"/>
          <w:b/>
          <w:bCs/>
          <w:sz w:val="28"/>
          <w:szCs w:val="28"/>
        </w:rPr>
        <w:t>1</w:t>
      </w:r>
      <w:bookmarkStart w:id="1" w:name="_Hlk75468572"/>
      <w:r>
        <w:rPr>
          <w:rFonts w:hint="eastAsia" w:ascii="仿宋" w:hAnsi="仿宋" w:eastAsia="仿宋" w:cs="仿宋"/>
          <w:b/>
          <w:bCs/>
          <w:sz w:val="28"/>
          <w:szCs w:val="28"/>
        </w:rPr>
        <w:t>.</w:t>
      </w:r>
      <w:bookmarkEnd w:id="1"/>
      <w:r>
        <w:rPr>
          <w:rFonts w:hint="eastAsia" w:ascii="仿宋" w:hAnsi="仿宋" w:eastAsia="仿宋" w:cs="仿宋"/>
          <w:b/>
          <w:bCs/>
          <w:sz w:val="28"/>
          <w:szCs w:val="28"/>
        </w:rPr>
        <w:t>电工电子系统组装与调试（25%）</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技能竞赛第一模块是电工电子系统组装与调试。参赛选手根据竞赛任务书的要求，完成电工电子线路板系统的焊接组装、编程和调试等，保证元器件安装正确、牢固、规范，焊接美观、光滑，功能的正确无误，仪器仪表操作规范、参数整定满足要求等。本部分占总分的25%，评审内容如表1。</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表1、电工电子系统组装与调试评分表</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4406"/>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26" w:type="dxa"/>
            <w:noWrap/>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评分项目</w:t>
            </w:r>
          </w:p>
        </w:tc>
        <w:tc>
          <w:tcPr>
            <w:tcW w:w="4406"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评分内容</w:t>
            </w:r>
          </w:p>
        </w:tc>
        <w:tc>
          <w:tcPr>
            <w:tcW w:w="993"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配分</w:t>
            </w:r>
          </w:p>
        </w:tc>
        <w:tc>
          <w:tcPr>
            <w:tcW w:w="992"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线路板焊接</w:t>
            </w:r>
          </w:p>
          <w:p>
            <w:pPr>
              <w:spacing w:line="360" w:lineRule="auto"/>
              <w:jc w:val="center"/>
              <w:rPr>
                <w:rFonts w:hint="eastAsia" w:ascii="仿宋" w:hAnsi="仿宋" w:eastAsia="仿宋" w:cs="仿宋"/>
                <w:szCs w:val="21"/>
              </w:rPr>
            </w:pPr>
            <w:r>
              <w:rPr>
                <w:rFonts w:hint="eastAsia" w:ascii="仿宋" w:hAnsi="仿宋" w:eastAsia="仿宋" w:cs="仿宋"/>
                <w:szCs w:val="21"/>
              </w:rPr>
              <w:t>（50分）</w:t>
            </w:r>
          </w:p>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1、器件识别：根据原理图，正确识别各元器，并安装到相应部位。元器件安装位置错误，每处不正确扣4分。扣完为止。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2、线路板焊接：各元器焊接正确，焊点光滑、明亮。出现桥接、短路、虚焊、漏焊现象，出现一次扣3分；出现焊点裂纹，出现一次扣1分。扣完为止。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35</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3、外壳安装：安装牢固不松动，少安装一个螺钉，出现一次扣2分，出现松动，扣1分。扣完为止。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5</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功能调试</w:t>
            </w:r>
          </w:p>
          <w:p>
            <w:pPr>
              <w:spacing w:line="360" w:lineRule="auto"/>
              <w:jc w:val="center"/>
              <w:rPr>
                <w:rFonts w:hint="eastAsia" w:ascii="仿宋" w:hAnsi="仿宋" w:eastAsia="仿宋" w:cs="仿宋"/>
                <w:szCs w:val="21"/>
              </w:rPr>
            </w:pPr>
            <w:r>
              <w:rPr>
                <w:rFonts w:hint="eastAsia" w:ascii="仿宋" w:hAnsi="仿宋" w:eastAsia="仿宋" w:cs="仿宋"/>
                <w:szCs w:val="21"/>
              </w:rPr>
              <w:t>（40分）</w:t>
            </w: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1、仪器仪表参数整定与正确操作使用等。每处操作失误、不规范或参数整定不正确，出现一次扣4分。扣完为止。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20</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2、功能正确，符合任务要求。缺失一功能或不符合要求扣4分，扣完为止。</w:t>
            </w:r>
          </w:p>
        </w:tc>
        <w:tc>
          <w:tcPr>
            <w:tcW w:w="993" w:type="dxa"/>
            <w:vAlign w:val="center"/>
          </w:tcPr>
          <w:p>
            <w:pPr>
              <w:jc w:val="center"/>
              <w:rPr>
                <w:rFonts w:hint="eastAsia" w:ascii="仿宋" w:hAnsi="仿宋" w:eastAsia="仿宋" w:cs="仿宋"/>
                <w:szCs w:val="21"/>
              </w:rPr>
            </w:pPr>
            <w:r>
              <w:rPr>
                <w:rFonts w:hint="eastAsia" w:ascii="仿宋" w:hAnsi="仿宋" w:eastAsia="仿宋" w:cs="仿宋"/>
                <w:szCs w:val="21"/>
              </w:rPr>
              <w:t>20</w:t>
            </w:r>
          </w:p>
        </w:tc>
        <w:tc>
          <w:tcPr>
            <w:tcW w:w="992"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职业素养</w:t>
            </w:r>
          </w:p>
          <w:p>
            <w:pPr>
              <w:spacing w:line="360" w:lineRule="auto"/>
              <w:jc w:val="center"/>
              <w:rPr>
                <w:rFonts w:hint="eastAsia" w:ascii="仿宋" w:hAnsi="仿宋" w:eastAsia="仿宋" w:cs="仿宋"/>
                <w:szCs w:val="21"/>
              </w:rPr>
            </w:pPr>
            <w:r>
              <w:rPr>
                <w:rFonts w:hint="eastAsia" w:ascii="仿宋" w:hAnsi="仿宋" w:eastAsia="仿宋" w:cs="仿宋"/>
                <w:szCs w:val="21"/>
              </w:rPr>
              <w:t>（10分）</w:t>
            </w: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1、选手需穿着工作服、绝缘工作鞋等，不符规定每处扣3分，扣完为止。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26" w:type="dxa"/>
            <w:vMerge w:val="continue"/>
          </w:tcPr>
          <w:p>
            <w:pPr>
              <w:spacing w:line="360" w:lineRule="auto"/>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2、工具摆放整齐、规范。每处不合理扣1分，扣完为止。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992" w:type="dxa"/>
            <w:vMerge w:val="restart"/>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26" w:type="dxa"/>
            <w:vMerge w:val="continue"/>
          </w:tcPr>
          <w:p>
            <w:pPr>
              <w:spacing w:line="360" w:lineRule="auto"/>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3、带电操作，一次扣2分，扣完为止。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992" w:type="dxa"/>
            <w:vMerge w:val="continue"/>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232" w:type="dxa"/>
            <w:gridSpan w:val="2"/>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合  计</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100</w:t>
            </w:r>
          </w:p>
        </w:tc>
        <w:tc>
          <w:tcPr>
            <w:tcW w:w="992" w:type="dxa"/>
            <w:noWrap/>
          </w:tcPr>
          <w:p>
            <w:pPr>
              <w:spacing w:line="360" w:lineRule="auto"/>
              <w:rPr>
                <w:rFonts w:hint="eastAsia" w:ascii="仿宋" w:hAnsi="仿宋" w:eastAsia="仿宋" w:cs="仿宋"/>
                <w:szCs w:val="21"/>
              </w:rPr>
            </w:pPr>
          </w:p>
        </w:tc>
      </w:tr>
    </w:tbl>
    <w:p>
      <w:pPr>
        <w:spacing w:line="360" w:lineRule="auto"/>
        <w:rPr>
          <w:rFonts w:hint="eastAsia" w:ascii="仿宋" w:hAnsi="仿宋" w:eastAsia="仿宋" w:cs="仿宋"/>
          <w:sz w:val="28"/>
          <w:szCs w:val="28"/>
        </w:rPr>
      </w:pPr>
    </w:p>
    <w:p>
      <w:pPr>
        <w:widowControl/>
        <w:spacing w:before="115" w:line="360" w:lineRule="auto"/>
        <w:jc w:val="left"/>
        <w:rPr>
          <w:rFonts w:hint="eastAsia" w:ascii="仿宋" w:hAnsi="仿宋" w:eastAsia="仿宋" w:cs="仿宋"/>
          <w:b/>
          <w:bCs/>
          <w:sz w:val="28"/>
          <w:szCs w:val="28"/>
        </w:rPr>
      </w:pPr>
      <w:r>
        <w:rPr>
          <w:rFonts w:hint="eastAsia" w:ascii="仿宋" w:hAnsi="仿宋" w:eastAsia="仿宋" w:cs="仿宋"/>
          <w:b/>
          <w:bCs/>
          <w:sz w:val="28"/>
          <w:szCs w:val="28"/>
        </w:rPr>
        <w:t>2</w:t>
      </w:r>
      <w:bookmarkStart w:id="2" w:name="_Hlk75468583"/>
      <w:r>
        <w:rPr>
          <w:rFonts w:hint="eastAsia" w:ascii="仿宋" w:hAnsi="仿宋" w:eastAsia="仿宋" w:cs="仿宋"/>
          <w:b/>
          <w:bCs/>
          <w:sz w:val="28"/>
          <w:szCs w:val="28"/>
        </w:rPr>
        <w:t>.</w:t>
      </w:r>
      <w:bookmarkEnd w:id="2"/>
      <w:r>
        <w:rPr>
          <w:rFonts w:hint="eastAsia" w:ascii="仿宋" w:hAnsi="仿宋" w:eastAsia="仿宋" w:cs="仿宋"/>
          <w:b/>
          <w:bCs/>
          <w:sz w:val="28"/>
          <w:szCs w:val="28"/>
        </w:rPr>
        <w:t>供配电与微电网系统安装调试（65%）</w:t>
      </w:r>
    </w:p>
    <w:p>
      <w:pPr>
        <w:widowControl/>
        <w:spacing w:before="115"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技能竞赛第二模块为供配电与微电网系统安装调试。参赛选手根据竞赛任务书的要求，完成系统供配电安装，并应用数字软件设计与绘制竞赛任务书所规定的电气原理图和器件安装图，完成系统硬件器件安装、微电网系统搭建、按照任务书中规定的运行策略编写程序等。要求器件布局合理、安装牢固、接线规范、美观，程序编写正确，HMI画面合理、数据显示正确、运行满足任务书要求等保证功能的正确性、布局合理性、安全可靠性和操作规范性等。本部分占总分的65%，评审内容如表2所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表2、供配电与微电网系统安装调试评分表</w:t>
      </w:r>
    </w:p>
    <w:tbl>
      <w:tblPr>
        <w:tblStyle w:val="9"/>
        <w:tblpPr w:leftFromText="180" w:rightFromText="180" w:vertAnchor="text" w:horzAnchor="page" w:tblpX="1937" w:tblpY="645"/>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961"/>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评分项目</w:t>
            </w:r>
          </w:p>
        </w:tc>
        <w:tc>
          <w:tcPr>
            <w:tcW w:w="4961"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评分内容</w:t>
            </w:r>
          </w:p>
        </w:tc>
        <w:tc>
          <w:tcPr>
            <w:tcW w:w="992"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配分</w:t>
            </w:r>
          </w:p>
        </w:tc>
        <w:tc>
          <w:tcPr>
            <w:tcW w:w="851"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供配电</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1、电源供配电接线正确。不正确每一处扣2分，扣完为止。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851" w:type="dxa"/>
            <w:vMerge w:val="restart"/>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2、各路保护选择与分配正确。不正确每一处扣2分，扣完为止。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851" w:type="dxa"/>
            <w:vMerge w:val="continue"/>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电气绘图</w:t>
            </w:r>
          </w:p>
          <w:p>
            <w:pPr>
              <w:spacing w:line="360" w:lineRule="auto"/>
              <w:jc w:val="center"/>
              <w:rPr>
                <w:rFonts w:hint="eastAsia" w:ascii="仿宋" w:hAnsi="仿宋" w:eastAsia="仿宋" w:cs="仿宋"/>
                <w:szCs w:val="21"/>
              </w:rPr>
            </w:pPr>
            <w:r>
              <w:rPr>
                <w:rFonts w:hint="eastAsia" w:ascii="仿宋" w:hAnsi="仿宋" w:eastAsia="仿宋" w:cs="仿宋"/>
                <w:szCs w:val="21"/>
              </w:rPr>
              <w:t>（15分）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1、电气原理图。电气原理图正确、规范。不正确每一处扣2分，扣完为止。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2、器件安装图。器件安装图布局合理、规范。不正确每一处扣2分，扣完为止。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5</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元件布局及安装</w:t>
            </w:r>
          </w:p>
          <w:p>
            <w:pPr>
              <w:spacing w:line="360" w:lineRule="auto"/>
              <w:jc w:val="center"/>
              <w:rPr>
                <w:rFonts w:hint="eastAsia" w:ascii="仿宋" w:hAnsi="仿宋" w:eastAsia="仿宋" w:cs="仿宋"/>
                <w:szCs w:val="21"/>
              </w:rPr>
            </w:pPr>
            <w:r>
              <w:rPr>
                <w:rFonts w:hint="eastAsia" w:ascii="仿宋" w:hAnsi="仿宋" w:eastAsia="仿宋" w:cs="仿宋"/>
                <w:szCs w:val="21"/>
              </w:rPr>
              <w:t>（10分）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1、器材安装。布局合理，器件安装牢固不松动，功能正确。布局不合理，扣3分，元器件安装错误或松动，出现一次扣2分，扣完为止。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布线及接线</w:t>
            </w:r>
          </w:p>
          <w:p>
            <w:pPr>
              <w:spacing w:line="360" w:lineRule="auto"/>
              <w:jc w:val="center"/>
              <w:rPr>
                <w:rFonts w:hint="eastAsia" w:ascii="仿宋" w:hAnsi="仿宋" w:eastAsia="仿宋" w:cs="仿宋"/>
                <w:szCs w:val="21"/>
              </w:rPr>
            </w:pPr>
            <w:r>
              <w:rPr>
                <w:rFonts w:hint="eastAsia" w:ascii="仿宋" w:hAnsi="仿宋" w:eastAsia="仿宋" w:cs="仿宋"/>
                <w:szCs w:val="21"/>
              </w:rPr>
              <w:t>（20分）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 xml:space="preserve">布线、接线、压接接线端子等满足工艺要求，要有号码套管，压接部位不允许有导线外露等。出现接线不符合工艺要求，出现一次扣1分，扣完为止。  </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20</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系统调试</w:t>
            </w:r>
          </w:p>
          <w:p>
            <w:pPr>
              <w:spacing w:line="360" w:lineRule="auto"/>
              <w:jc w:val="center"/>
              <w:rPr>
                <w:rFonts w:hint="eastAsia" w:ascii="仿宋" w:hAnsi="仿宋" w:eastAsia="仿宋" w:cs="仿宋"/>
                <w:szCs w:val="21"/>
              </w:rPr>
            </w:pPr>
            <w:r>
              <w:rPr>
                <w:rFonts w:hint="eastAsia" w:ascii="仿宋" w:hAnsi="仿宋" w:eastAsia="仿宋" w:cs="仿宋"/>
                <w:szCs w:val="21"/>
              </w:rPr>
              <w:t>（35分）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1、手动功能。功能正确。不正确处每一处扣2分，扣完为止。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vMerge w:val="restart"/>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2、自动功能。功能正确、符合控制策略要求。控制策略不符合要求扣10分，其它错误出现一次扣2分分，扣完为止。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15</w:t>
            </w:r>
          </w:p>
        </w:tc>
        <w:tc>
          <w:tcPr>
            <w:tcW w:w="851" w:type="dxa"/>
            <w:vMerge w:val="continue"/>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3、HMI设计。画面设计合理、美观，参数显示正确。出现操作错误或参数显示错误，出现一次扣2分，扣完为止。</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vMerge w:val="continue"/>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职业素养</w:t>
            </w:r>
          </w:p>
          <w:p>
            <w:pPr>
              <w:spacing w:line="360" w:lineRule="auto"/>
              <w:jc w:val="center"/>
              <w:rPr>
                <w:rFonts w:hint="eastAsia" w:ascii="仿宋" w:hAnsi="仿宋" w:eastAsia="仿宋" w:cs="仿宋"/>
                <w:szCs w:val="21"/>
              </w:rPr>
            </w:pPr>
            <w:r>
              <w:rPr>
                <w:rFonts w:hint="eastAsia" w:ascii="仿宋" w:hAnsi="仿宋" w:eastAsia="仿宋" w:cs="仿宋"/>
                <w:szCs w:val="21"/>
              </w:rPr>
              <w:t>（10分）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1、选手需穿着工作服、绝缘工作鞋等，不符规定每处扣2分，扣完为止。</w:t>
            </w:r>
          </w:p>
        </w:tc>
        <w:tc>
          <w:tcPr>
            <w:tcW w:w="992" w:type="dxa"/>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851"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2、带电操作，一次扣2分，扣完为止。</w:t>
            </w:r>
          </w:p>
        </w:tc>
        <w:tc>
          <w:tcPr>
            <w:tcW w:w="992" w:type="dxa"/>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851"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74" w:type="dxa"/>
            <w:gridSpan w:val="2"/>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合  计</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100</w:t>
            </w:r>
          </w:p>
        </w:tc>
        <w:tc>
          <w:tcPr>
            <w:tcW w:w="851" w:type="dxa"/>
            <w:noWrap/>
          </w:tcPr>
          <w:p>
            <w:pPr>
              <w:spacing w:line="360" w:lineRule="auto"/>
              <w:rPr>
                <w:rFonts w:hint="eastAsia" w:ascii="仿宋" w:hAnsi="仿宋" w:eastAsia="仿宋" w:cs="仿宋"/>
                <w:szCs w:val="21"/>
              </w:rPr>
            </w:pPr>
          </w:p>
        </w:tc>
      </w:tr>
    </w:tbl>
    <w:p>
      <w:pPr>
        <w:widowControl/>
        <w:spacing w:before="115" w:line="360" w:lineRule="auto"/>
        <w:jc w:val="left"/>
        <w:rPr>
          <w:rFonts w:hint="eastAsia" w:ascii="仿宋" w:hAnsi="仿宋" w:eastAsia="仿宋" w:cs="仿宋"/>
          <w:sz w:val="28"/>
          <w:szCs w:val="28"/>
        </w:rPr>
      </w:pPr>
    </w:p>
    <w:p>
      <w:pPr>
        <w:widowControl/>
        <w:spacing w:before="115" w:line="360" w:lineRule="auto"/>
        <w:jc w:val="left"/>
        <w:rPr>
          <w:rFonts w:hint="eastAsia" w:ascii="仿宋" w:hAnsi="仿宋" w:eastAsia="仿宋" w:cs="仿宋"/>
          <w:b/>
          <w:sz w:val="28"/>
          <w:szCs w:val="28"/>
        </w:rPr>
      </w:pPr>
      <w:r>
        <w:rPr>
          <w:rFonts w:hint="eastAsia" w:ascii="仿宋" w:hAnsi="仿宋" w:eastAsia="仿宋" w:cs="仿宋"/>
          <w:b/>
          <w:sz w:val="28"/>
          <w:szCs w:val="28"/>
        </w:rPr>
        <w:t>3. 实践教学方案设计与组织（10%）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技能竞赛第三模块为电工电气基础技能竞赛实践教学方案设计与组织实施。参赛团队教师选手需对技能竞赛平台，设计该项目实践教学方案和实施措施，以及培养学生的知识、能力和素质的分析与总结等。本部分占总分的10%，评审内容如表3所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表3、实践教学方案设计与组织评分表</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961"/>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评分项目</w:t>
            </w:r>
          </w:p>
        </w:tc>
        <w:tc>
          <w:tcPr>
            <w:tcW w:w="4961"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评分内容</w:t>
            </w:r>
          </w:p>
        </w:tc>
        <w:tc>
          <w:tcPr>
            <w:tcW w:w="992"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配分</w:t>
            </w:r>
          </w:p>
        </w:tc>
        <w:tc>
          <w:tcPr>
            <w:tcW w:w="851"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方案设计（30分）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1、总体方案。符合新工科专业改革总体要求，产教融合、科教融汇，协同育人。</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15</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2、实践安排。符合国情，有创新、有特色，能实现。</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15</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实施措施（30分）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1、教学组织。培养方案改革可行，因校制宜，符合本校定位。</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15</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2、教学安排。课程重组，安排合理，符合工程师人才培养规律。</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15</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知识能力</w:t>
            </w:r>
          </w:p>
          <w:p>
            <w:pPr>
              <w:spacing w:line="360" w:lineRule="auto"/>
              <w:jc w:val="center"/>
              <w:rPr>
                <w:rFonts w:hint="eastAsia" w:ascii="仿宋" w:hAnsi="仿宋" w:eastAsia="仿宋" w:cs="仿宋"/>
                <w:szCs w:val="21"/>
              </w:rPr>
            </w:pPr>
            <w:r>
              <w:rPr>
                <w:rFonts w:hint="eastAsia" w:ascii="仿宋" w:hAnsi="仿宋" w:eastAsia="仿宋" w:cs="仿宋"/>
                <w:szCs w:val="21"/>
              </w:rPr>
              <w:t>素质分析</w:t>
            </w:r>
          </w:p>
          <w:p>
            <w:pPr>
              <w:spacing w:line="360" w:lineRule="auto"/>
              <w:jc w:val="center"/>
              <w:rPr>
                <w:rFonts w:hint="eastAsia" w:ascii="仿宋" w:hAnsi="仿宋" w:eastAsia="仿宋" w:cs="仿宋"/>
                <w:szCs w:val="21"/>
              </w:rPr>
            </w:pPr>
            <w:r>
              <w:rPr>
                <w:rFonts w:hint="eastAsia" w:ascii="仿宋" w:hAnsi="仿宋" w:eastAsia="仿宋" w:cs="仿宋"/>
                <w:szCs w:val="21"/>
              </w:rPr>
              <w:t>（30分）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1、知识。反映专业基础课程实践教学对学生知识点的培养。</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2、能力。反映专业基础课程实践教学对学生能力点的培养。</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3、素质。反映专业基础课程实践教学对学生素质的培养。</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851" w:type="dxa"/>
            <w:noWrap/>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总结要点</w:t>
            </w:r>
          </w:p>
          <w:p>
            <w:pPr>
              <w:spacing w:line="360" w:lineRule="auto"/>
              <w:jc w:val="center"/>
              <w:rPr>
                <w:rFonts w:hint="eastAsia" w:ascii="仿宋" w:hAnsi="仿宋" w:eastAsia="仿宋" w:cs="仿宋"/>
                <w:szCs w:val="21"/>
              </w:rPr>
            </w:pPr>
            <w:r>
              <w:rPr>
                <w:rFonts w:hint="eastAsia" w:ascii="仿宋" w:hAnsi="仿宋" w:eastAsia="仿宋" w:cs="仿宋"/>
                <w:szCs w:val="21"/>
              </w:rPr>
              <w:t>（10分）</w:t>
            </w: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1、符合性。符合大赛主题。</w:t>
            </w:r>
          </w:p>
        </w:tc>
        <w:tc>
          <w:tcPr>
            <w:tcW w:w="992" w:type="dxa"/>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851"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continue"/>
            <w:vAlign w:val="center"/>
          </w:tcPr>
          <w:p>
            <w:pPr>
              <w:spacing w:line="360" w:lineRule="auto"/>
              <w:jc w:val="center"/>
              <w:rPr>
                <w:rFonts w:hint="eastAsia" w:ascii="仿宋" w:hAnsi="仿宋" w:eastAsia="仿宋" w:cs="仿宋"/>
                <w:szCs w:val="21"/>
              </w:rPr>
            </w:pPr>
          </w:p>
        </w:tc>
        <w:tc>
          <w:tcPr>
            <w:tcW w:w="4961" w:type="dxa"/>
          </w:tcPr>
          <w:p>
            <w:pPr>
              <w:spacing w:line="276" w:lineRule="auto"/>
              <w:rPr>
                <w:rFonts w:hint="eastAsia" w:ascii="仿宋" w:hAnsi="仿宋" w:eastAsia="仿宋" w:cs="仿宋"/>
                <w:szCs w:val="21"/>
              </w:rPr>
            </w:pPr>
            <w:r>
              <w:rPr>
                <w:rFonts w:hint="eastAsia" w:ascii="仿宋" w:hAnsi="仿宋" w:eastAsia="仿宋" w:cs="仿宋"/>
                <w:szCs w:val="21"/>
              </w:rPr>
              <w:t>2、创新性。具有创新特色。</w:t>
            </w:r>
          </w:p>
        </w:tc>
        <w:tc>
          <w:tcPr>
            <w:tcW w:w="992" w:type="dxa"/>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851"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74" w:type="dxa"/>
            <w:gridSpan w:val="2"/>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合  计</w:t>
            </w:r>
          </w:p>
        </w:tc>
        <w:tc>
          <w:tcPr>
            <w:tcW w:w="992" w:type="dxa"/>
            <w:noWrap/>
            <w:vAlign w:val="center"/>
          </w:tcPr>
          <w:p>
            <w:pPr>
              <w:jc w:val="center"/>
              <w:rPr>
                <w:rFonts w:hint="eastAsia" w:ascii="仿宋" w:hAnsi="仿宋" w:eastAsia="仿宋" w:cs="仿宋"/>
                <w:szCs w:val="21"/>
              </w:rPr>
            </w:pPr>
            <w:r>
              <w:rPr>
                <w:rFonts w:hint="eastAsia" w:ascii="仿宋" w:hAnsi="仿宋" w:eastAsia="仿宋" w:cs="仿宋"/>
                <w:szCs w:val="21"/>
              </w:rPr>
              <w:t>100</w:t>
            </w:r>
          </w:p>
        </w:tc>
        <w:tc>
          <w:tcPr>
            <w:tcW w:w="851" w:type="dxa"/>
            <w:noWrap/>
          </w:tcPr>
          <w:p>
            <w:pPr>
              <w:spacing w:line="360" w:lineRule="auto"/>
              <w:rPr>
                <w:rFonts w:hint="eastAsia" w:ascii="仿宋" w:hAnsi="仿宋" w:eastAsia="仿宋" w:cs="仿宋"/>
                <w:szCs w:val="21"/>
              </w:rPr>
            </w:pP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25F7E"/>
    <w:multiLevelType w:val="multilevel"/>
    <w:tmpl w:val="3EC25F7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jYWNhY2VlZDA4YjMwMTkwZGIyNjZjYzc0ZDgzYWMifQ=="/>
  </w:docVars>
  <w:rsids>
    <w:rsidRoot w:val="009D4435"/>
    <w:rsid w:val="000004B1"/>
    <w:rsid w:val="000030C7"/>
    <w:rsid w:val="00024629"/>
    <w:rsid w:val="00071F1B"/>
    <w:rsid w:val="00087B46"/>
    <w:rsid w:val="000A57F7"/>
    <w:rsid w:val="000C33BC"/>
    <w:rsid w:val="000C56AC"/>
    <w:rsid w:val="000D1B7C"/>
    <w:rsid w:val="000E5E67"/>
    <w:rsid w:val="000E6F93"/>
    <w:rsid w:val="000F2F86"/>
    <w:rsid w:val="000F44F5"/>
    <w:rsid w:val="00107CAA"/>
    <w:rsid w:val="0011783A"/>
    <w:rsid w:val="00126678"/>
    <w:rsid w:val="00132CA3"/>
    <w:rsid w:val="0013436B"/>
    <w:rsid w:val="001510A6"/>
    <w:rsid w:val="00151B00"/>
    <w:rsid w:val="00156EC8"/>
    <w:rsid w:val="001618FD"/>
    <w:rsid w:val="00163912"/>
    <w:rsid w:val="00191F70"/>
    <w:rsid w:val="00194016"/>
    <w:rsid w:val="00195A4B"/>
    <w:rsid w:val="001A5F25"/>
    <w:rsid w:val="001B61D6"/>
    <w:rsid w:val="001C201B"/>
    <w:rsid w:val="001E45DC"/>
    <w:rsid w:val="001F5682"/>
    <w:rsid w:val="00213A7E"/>
    <w:rsid w:val="002169B3"/>
    <w:rsid w:val="00226CA0"/>
    <w:rsid w:val="00274EE1"/>
    <w:rsid w:val="00282143"/>
    <w:rsid w:val="002821CD"/>
    <w:rsid w:val="00290C09"/>
    <w:rsid w:val="002B447C"/>
    <w:rsid w:val="002B79D8"/>
    <w:rsid w:val="002C0DF4"/>
    <w:rsid w:val="002F3E54"/>
    <w:rsid w:val="00314A43"/>
    <w:rsid w:val="00320227"/>
    <w:rsid w:val="00330967"/>
    <w:rsid w:val="003372B6"/>
    <w:rsid w:val="00344917"/>
    <w:rsid w:val="00346146"/>
    <w:rsid w:val="00362C22"/>
    <w:rsid w:val="003633F2"/>
    <w:rsid w:val="00363F43"/>
    <w:rsid w:val="00392A38"/>
    <w:rsid w:val="00392C13"/>
    <w:rsid w:val="0039360E"/>
    <w:rsid w:val="003A0B6D"/>
    <w:rsid w:val="003A3FE3"/>
    <w:rsid w:val="003B6E7B"/>
    <w:rsid w:val="003C2119"/>
    <w:rsid w:val="003C4C62"/>
    <w:rsid w:val="003D39D8"/>
    <w:rsid w:val="003D5AC9"/>
    <w:rsid w:val="003F0C54"/>
    <w:rsid w:val="003F0E49"/>
    <w:rsid w:val="003F0FF1"/>
    <w:rsid w:val="003F526C"/>
    <w:rsid w:val="00400261"/>
    <w:rsid w:val="00422A47"/>
    <w:rsid w:val="00427C8B"/>
    <w:rsid w:val="0043663B"/>
    <w:rsid w:val="00461266"/>
    <w:rsid w:val="004658AA"/>
    <w:rsid w:val="004748BE"/>
    <w:rsid w:val="00480E46"/>
    <w:rsid w:val="004864EE"/>
    <w:rsid w:val="0049262A"/>
    <w:rsid w:val="004C36D9"/>
    <w:rsid w:val="004C46DC"/>
    <w:rsid w:val="004D0D1C"/>
    <w:rsid w:val="004E0E6B"/>
    <w:rsid w:val="005002DA"/>
    <w:rsid w:val="00520E3F"/>
    <w:rsid w:val="0053458B"/>
    <w:rsid w:val="00536D68"/>
    <w:rsid w:val="00550737"/>
    <w:rsid w:val="00573D9F"/>
    <w:rsid w:val="005A10D9"/>
    <w:rsid w:val="005A1D82"/>
    <w:rsid w:val="005A6CA8"/>
    <w:rsid w:val="005A6FA0"/>
    <w:rsid w:val="005C107E"/>
    <w:rsid w:val="005D24F3"/>
    <w:rsid w:val="005D7FED"/>
    <w:rsid w:val="005E73C8"/>
    <w:rsid w:val="00600694"/>
    <w:rsid w:val="00606906"/>
    <w:rsid w:val="00623C8D"/>
    <w:rsid w:val="00625E1A"/>
    <w:rsid w:val="0063218E"/>
    <w:rsid w:val="00651FBF"/>
    <w:rsid w:val="00691536"/>
    <w:rsid w:val="006B1527"/>
    <w:rsid w:val="006D4635"/>
    <w:rsid w:val="006D6EFB"/>
    <w:rsid w:val="00700941"/>
    <w:rsid w:val="00721912"/>
    <w:rsid w:val="00723173"/>
    <w:rsid w:val="0072328C"/>
    <w:rsid w:val="007317C7"/>
    <w:rsid w:val="007336BA"/>
    <w:rsid w:val="0074303E"/>
    <w:rsid w:val="00744CB4"/>
    <w:rsid w:val="0075673B"/>
    <w:rsid w:val="00776579"/>
    <w:rsid w:val="00793E81"/>
    <w:rsid w:val="00795E51"/>
    <w:rsid w:val="007C2A5F"/>
    <w:rsid w:val="007D5F2C"/>
    <w:rsid w:val="007E3F5B"/>
    <w:rsid w:val="007E5FA4"/>
    <w:rsid w:val="00800EA8"/>
    <w:rsid w:val="0080105E"/>
    <w:rsid w:val="00803C17"/>
    <w:rsid w:val="00827B17"/>
    <w:rsid w:val="008305D4"/>
    <w:rsid w:val="008539A2"/>
    <w:rsid w:val="0087397A"/>
    <w:rsid w:val="008D6959"/>
    <w:rsid w:val="008F175F"/>
    <w:rsid w:val="008F4577"/>
    <w:rsid w:val="009113FB"/>
    <w:rsid w:val="00945593"/>
    <w:rsid w:val="00954151"/>
    <w:rsid w:val="00967DE7"/>
    <w:rsid w:val="009756C4"/>
    <w:rsid w:val="0098182E"/>
    <w:rsid w:val="009A41B7"/>
    <w:rsid w:val="009C0FF4"/>
    <w:rsid w:val="009C2762"/>
    <w:rsid w:val="009C2834"/>
    <w:rsid w:val="009C4FA4"/>
    <w:rsid w:val="009D4435"/>
    <w:rsid w:val="009F48C0"/>
    <w:rsid w:val="00A10248"/>
    <w:rsid w:val="00A16103"/>
    <w:rsid w:val="00A24E43"/>
    <w:rsid w:val="00A27147"/>
    <w:rsid w:val="00A31D7E"/>
    <w:rsid w:val="00A341A9"/>
    <w:rsid w:val="00A4162E"/>
    <w:rsid w:val="00A42FE9"/>
    <w:rsid w:val="00A51E0C"/>
    <w:rsid w:val="00A74B35"/>
    <w:rsid w:val="00AA196E"/>
    <w:rsid w:val="00AB040E"/>
    <w:rsid w:val="00AE1D34"/>
    <w:rsid w:val="00AE5D4A"/>
    <w:rsid w:val="00AF37C6"/>
    <w:rsid w:val="00B03B6D"/>
    <w:rsid w:val="00B174B7"/>
    <w:rsid w:val="00B20AB3"/>
    <w:rsid w:val="00B22F00"/>
    <w:rsid w:val="00B32700"/>
    <w:rsid w:val="00B329E7"/>
    <w:rsid w:val="00B34D96"/>
    <w:rsid w:val="00B618FB"/>
    <w:rsid w:val="00B6767D"/>
    <w:rsid w:val="00B67ECA"/>
    <w:rsid w:val="00B75953"/>
    <w:rsid w:val="00B779B9"/>
    <w:rsid w:val="00B824E8"/>
    <w:rsid w:val="00B87E06"/>
    <w:rsid w:val="00BA1957"/>
    <w:rsid w:val="00BA20A6"/>
    <w:rsid w:val="00BB322E"/>
    <w:rsid w:val="00BC2298"/>
    <w:rsid w:val="00BD3FA1"/>
    <w:rsid w:val="00BD5E95"/>
    <w:rsid w:val="00C1531B"/>
    <w:rsid w:val="00C43ABA"/>
    <w:rsid w:val="00C44D8F"/>
    <w:rsid w:val="00C51B3C"/>
    <w:rsid w:val="00C627CA"/>
    <w:rsid w:val="00C76028"/>
    <w:rsid w:val="00C929FF"/>
    <w:rsid w:val="00C95FF1"/>
    <w:rsid w:val="00CC442D"/>
    <w:rsid w:val="00CE0C35"/>
    <w:rsid w:val="00CE1B62"/>
    <w:rsid w:val="00CF0FC7"/>
    <w:rsid w:val="00CF42CB"/>
    <w:rsid w:val="00D528B6"/>
    <w:rsid w:val="00D52A58"/>
    <w:rsid w:val="00D57532"/>
    <w:rsid w:val="00DA032F"/>
    <w:rsid w:val="00DA6EE6"/>
    <w:rsid w:val="00DB1721"/>
    <w:rsid w:val="00DC7082"/>
    <w:rsid w:val="00DD05B6"/>
    <w:rsid w:val="00DF0B9D"/>
    <w:rsid w:val="00DF43CC"/>
    <w:rsid w:val="00E30C34"/>
    <w:rsid w:val="00E31366"/>
    <w:rsid w:val="00E37350"/>
    <w:rsid w:val="00E512C8"/>
    <w:rsid w:val="00E52E47"/>
    <w:rsid w:val="00E61F56"/>
    <w:rsid w:val="00ED0AE3"/>
    <w:rsid w:val="00ED30F9"/>
    <w:rsid w:val="00EF126E"/>
    <w:rsid w:val="00EF5CE2"/>
    <w:rsid w:val="00F2510F"/>
    <w:rsid w:val="00F2589A"/>
    <w:rsid w:val="00F36877"/>
    <w:rsid w:val="00F4540F"/>
    <w:rsid w:val="00F63F59"/>
    <w:rsid w:val="00FA023C"/>
    <w:rsid w:val="00FA343E"/>
    <w:rsid w:val="06413641"/>
    <w:rsid w:val="07F148BC"/>
    <w:rsid w:val="09982151"/>
    <w:rsid w:val="0CEA29ED"/>
    <w:rsid w:val="0DC1321E"/>
    <w:rsid w:val="14FB0A96"/>
    <w:rsid w:val="15387935"/>
    <w:rsid w:val="18795736"/>
    <w:rsid w:val="19EA076A"/>
    <w:rsid w:val="1BB96FA9"/>
    <w:rsid w:val="1EC0165D"/>
    <w:rsid w:val="20D84CFC"/>
    <w:rsid w:val="211A6C39"/>
    <w:rsid w:val="25D2573F"/>
    <w:rsid w:val="277A0A5D"/>
    <w:rsid w:val="277C3FD9"/>
    <w:rsid w:val="27834F67"/>
    <w:rsid w:val="28326CEB"/>
    <w:rsid w:val="28F44185"/>
    <w:rsid w:val="292737F5"/>
    <w:rsid w:val="2952643A"/>
    <w:rsid w:val="29DB0B4B"/>
    <w:rsid w:val="2A2265C0"/>
    <w:rsid w:val="2B387E4E"/>
    <w:rsid w:val="2C6740DA"/>
    <w:rsid w:val="2C97338D"/>
    <w:rsid w:val="2F3B6F6E"/>
    <w:rsid w:val="2FF873F7"/>
    <w:rsid w:val="36E65B4A"/>
    <w:rsid w:val="37FF2EB9"/>
    <w:rsid w:val="3A196037"/>
    <w:rsid w:val="3DAD2E27"/>
    <w:rsid w:val="3E6250F3"/>
    <w:rsid w:val="41D4420E"/>
    <w:rsid w:val="42226EAD"/>
    <w:rsid w:val="42F727D2"/>
    <w:rsid w:val="47692CA6"/>
    <w:rsid w:val="47B45B5E"/>
    <w:rsid w:val="47C4055A"/>
    <w:rsid w:val="48A76469"/>
    <w:rsid w:val="48C656DE"/>
    <w:rsid w:val="4BC60011"/>
    <w:rsid w:val="55414451"/>
    <w:rsid w:val="55975684"/>
    <w:rsid w:val="56760090"/>
    <w:rsid w:val="57733364"/>
    <w:rsid w:val="606B0BD3"/>
    <w:rsid w:val="64681F78"/>
    <w:rsid w:val="65E45473"/>
    <w:rsid w:val="66AD6C7B"/>
    <w:rsid w:val="69043740"/>
    <w:rsid w:val="6AC960CF"/>
    <w:rsid w:val="6B066BAF"/>
    <w:rsid w:val="6CC52FDB"/>
    <w:rsid w:val="6CC82C46"/>
    <w:rsid w:val="6E791FBD"/>
    <w:rsid w:val="6F1148A5"/>
    <w:rsid w:val="703D3D4C"/>
    <w:rsid w:val="72792CB0"/>
    <w:rsid w:val="727A4DEA"/>
    <w:rsid w:val="72E1597A"/>
    <w:rsid w:val="73CD157B"/>
    <w:rsid w:val="76CD0C70"/>
    <w:rsid w:val="79ED211D"/>
    <w:rsid w:val="7A8D01EE"/>
    <w:rsid w:val="7C8B71E1"/>
    <w:rsid w:val="7F466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Lines="50"/>
      <w:outlineLvl w:val="1"/>
    </w:pPr>
    <w:rPr>
      <w:rFonts w:eastAsia="仿宋_GB2312" w:cstheme="majorBidi"/>
      <w:b/>
      <w:bCs/>
      <w:sz w:val="28"/>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rPr>
  </w:style>
  <w:style w:type="paragraph" w:styleId="13">
    <w:name w:val="List Paragraph"/>
    <w:basedOn w:val="1"/>
    <w:qFormat/>
    <w:uiPriority w:val="34"/>
    <w:pPr>
      <w:ind w:firstLine="420" w:firstLineChars="200"/>
    </w:p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文字 Char"/>
    <w:basedOn w:val="10"/>
    <w:link w:val="3"/>
    <w:semiHidden/>
    <w:qFormat/>
    <w:uiPriority w:val="99"/>
    <w:rPr>
      <w:kern w:val="2"/>
      <w:sz w:val="21"/>
      <w:szCs w:val="22"/>
    </w:rPr>
  </w:style>
  <w:style w:type="character" w:customStyle="1" w:styleId="17">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注册单位=China</Company>
  <Pages>8</Pages>
  <Words>3027</Words>
  <Characters>3109</Characters>
  <Lines>24</Lines>
  <Paragraphs>6</Paragraphs>
  <TotalTime>9</TotalTime>
  <ScaleCrop>false</ScaleCrop>
  <LinksUpToDate>false</LinksUpToDate>
  <CharactersWithSpaces>3142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2023-06-24T11:51:00Z</dcterms:created>
  <dc:creator>注册用户=Users</dc:creator>
  <cp:lastModifiedBy>远渡</cp:lastModifiedBy>
  <dcterms:modified xsi:type="dcterms:W3CDTF">2023-06-27T00:55:44Z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-957456394</vt:i4>
  </property>
  <property fmtid="{D5CDD505-2E9C-101B-9397-08002B2CF9AE}" pid="3" name="KSOProductBuildVer">
    <vt:lpwstr>2052-11.1.0.14309</vt:lpwstr>
  </property>
  <property fmtid="{D5CDD505-2E9C-101B-9397-08002B2CF9AE}" pid="4" name="ICV">
    <vt:lpwstr>18E6BBB1FA6F4B548080727E8D812F57_12</vt:lpwstr>
  </property>
</Properties>
</file>